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Look w:val="0000"/>
      </w:tblPr>
      <w:tblGrid>
        <w:gridCol w:w="4205"/>
        <w:gridCol w:w="2458"/>
        <w:gridCol w:w="3260"/>
      </w:tblGrid>
      <w:tr w:rsidR="00E3360B" w:rsidTr="00E3360B">
        <w:trPr>
          <w:trHeight w:val="1971"/>
          <w:jc w:val="center"/>
        </w:trPr>
        <w:tc>
          <w:tcPr>
            <w:tcW w:w="9923" w:type="dxa"/>
            <w:gridSpan w:val="3"/>
          </w:tcPr>
          <w:p w:rsidR="00E3360B" w:rsidRPr="00E3360B" w:rsidRDefault="00E3360B" w:rsidP="00E3360B">
            <w:pPr>
              <w:jc w:val="center"/>
              <w:rPr>
                <w:noProof/>
                <w:sz w:val="35"/>
                <w:szCs w:val="35"/>
                <w:lang w:eastAsia="en-US"/>
              </w:rPr>
            </w:pPr>
            <w:r w:rsidRPr="00D42DF9">
              <w:rPr>
                <w:noProof/>
                <w:sz w:val="35"/>
                <w:szCs w:val="35"/>
                <w:rtl/>
                <w:lang w:eastAsia="en-US"/>
              </w:rPr>
              <w:drawing>
                <wp:inline distT="0" distB="0" distL="0" distR="0">
                  <wp:extent cx="865458" cy="1217304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458" cy="121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D2" w:rsidTr="00E3360B">
        <w:trPr>
          <w:jc w:val="center"/>
        </w:trPr>
        <w:tc>
          <w:tcPr>
            <w:tcW w:w="9923" w:type="dxa"/>
            <w:gridSpan w:val="3"/>
          </w:tcPr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513C4">
              <w:rPr>
                <w:b/>
                <w:bCs/>
                <w:sz w:val="16"/>
                <w:szCs w:val="16"/>
              </w:rPr>
              <w:t xml:space="preserve">    </w:t>
            </w:r>
          </w:p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40"/>
                <w:szCs w:val="40"/>
              </w:rPr>
            </w:pPr>
            <w:r w:rsidRPr="00804FD2">
              <w:rPr>
                <w:b/>
                <w:bCs/>
                <w:sz w:val="40"/>
                <w:szCs w:val="40"/>
              </w:rPr>
              <w:t>State of Palestine</w:t>
            </w: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04FD2" w:rsidTr="00E3360B">
        <w:trPr>
          <w:jc w:val="center"/>
        </w:trPr>
        <w:tc>
          <w:tcPr>
            <w:tcW w:w="4205" w:type="dxa"/>
          </w:tcPr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Palestinian Central </w:t>
            </w:r>
          </w:p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>Bureau of Statistics</w:t>
            </w:r>
          </w:p>
        </w:tc>
        <w:tc>
          <w:tcPr>
            <w:tcW w:w="2458" w:type="dxa"/>
          </w:tcPr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</w:p>
        </w:tc>
        <w:tc>
          <w:tcPr>
            <w:tcW w:w="3260" w:type="dxa"/>
          </w:tcPr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Ministry of </w:t>
            </w:r>
          </w:p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  <w:r w:rsidRPr="00804FD2">
              <w:rPr>
                <w:b/>
                <w:bCs/>
                <w:sz w:val="44"/>
                <w:szCs w:val="44"/>
              </w:rPr>
              <w:t>Health</w:t>
            </w:r>
          </w:p>
        </w:tc>
      </w:tr>
    </w:tbl>
    <w:p w:rsidR="009167BC" w:rsidRDefault="009167BC" w:rsidP="009167BC">
      <w:pPr>
        <w:bidi w:val="0"/>
        <w:rPr>
          <w:b/>
          <w:bCs/>
        </w:rPr>
      </w:pPr>
    </w:p>
    <w:p w:rsidR="009167BC" w:rsidRPr="00E37C95" w:rsidRDefault="009167BC" w:rsidP="009167BC">
      <w:pPr>
        <w:bidi w:val="0"/>
        <w:rPr>
          <w:rFonts w:asciiTheme="majorBidi" w:hAnsiTheme="majorBidi" w:cstheme="majorBidi"/>
          <w:b/>
          <w:bCs/>
          <w:color w:val="FF0000"/>
        </w:rPr>
      </w:pPr>
    </w:p>
    <w:p w:rsidR="009167BC" w:rsidRPr="00DD2824" w:rsidRDefault="005F22E5" w:rsidP="00557B83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DD2824">
        <w:rPr>
          <w:rFonts w:asciiTheme="majorBidi" w:hAnsiTheme="majorBidi" w:cstheme="majorBidi"/>
          <w:b/>
          <w:bCs/>
          <w:color w:val="FF0000"/>
          <w:sz w:val="36"/>
          <w:szCs w:val="36"/>
        </w:rPr>
        <w:t xml:space="preserve">An updated version that shows a reverse in the order of the data columns (unknown, Not Applicable) in </w:t>
      </w:r>
      <w:r w:rsidR="00557B83">
        <w:rPr>
          <w:rFonts w:asciiTheme="majorBidi" w:hAnsiTheme="majorBidi" w:cstheme="majorBidi"/>
          <w:b/>
          <w:bCs/>
          <w:color w:val="FF0000"/>
          <w:sz w:val="36"/>
          <w:szCs w:val="36"/>
        </w:rPr>
        <w:t xml:space="preserve">           </w:t>
      </w:r>
      <w:r w:rsidRPr="00DD2824">
        <w:rPr>
          <w:rFonts w:asciiTheme="majorBidi" w:hAnsiTheme="majorBidi" w:cstheme="majorBidi"/>
          <w:b/>
          <w:bCs/>
          <w:color w:val="FF0000"/>
          <w:sz w:val="36"/>
          <w:szCs w:val="36"/>
        </w:rPr>
        <w:t>page (25-26)</w:t>
      </w:r>
    </w:p>
    <w:p w:rsidR="009167BC" w:rsidRPr="00DD2824" w:rsidRDefault="009167BC" w:rsidP="009167BC">
      <w:pPr>
        <w:bidi w:val="0"/>
        <w:jc w:val="center"/>
        <w:rPr>
          <w:b/>
          <w:bCs/>
          <w:sz w:val="36"/>
          <w:szCs w:val="36"/>
        </w:rPr>
      </w:pPr>
    </w:p>
    <w:tbl>
      <w:tblPr>
        <w:tblStyle w:val="TableGrid"/>
        <w:tblW w:w="0" w:type="auto"/>
        <w:jc w:val="center"/>
        <w:tblInd w:w="1260" w:type="dxa"/>
        <w:tblLook w:val="04A0"/>
      </w:tblPr>
      <w:tblGrid>
        <w:gridCol w:w="4943"/>
      </w:tblGrid>
      <w:tr w:rsidR="005F22E5" w:rsidTr="00E37C95">
        <w:trPr>
          <w:trHeight w:val="406"/>
          <w:jc w:val="center"/>
        </w:trPr>
        <w:tc>
          <w:tcPr>
            <w:tcW w:w="4943" w:type="dxa"/>
          </w:tcPr>
          <w:p w:rsidR="005F22E5" w:rsidRPr="00E37C95" w:rsidRDefault="005F22E5" w:rsidP="009167BC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  <w:r w:rsidRPr="00E37C95">
              <w:rPr>
                <w:b/>
                <w:bCs/>
                <w:sz w:val="32"/>
                <w:szCs w:val="32"/>
              </w:rPr>
              <w:t>The old version</w:t>
            </w:r>
          </w:p>
        </w:tc>
      </w:tr>
    </w:tbl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pStyle w:val="Heading1"/>
        <w:ind w:hanging="334"/>
        <w:rPr>
          <w:sz w:val="40"/>
          <w:szCs w:val="40"/>
        </w:rPr>
      </w:pPr>
    </w:p>
    <w:p w:rsidR="009167BC" w:rsidRDefault="009167BC" w:rsidP="00D0115B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Palestinian Health Accounts </w:t>
      </w:r>
      <w:r w:rsidR="00D0115B">
        <w:rPr>
          <w:b/>
          <w:bCs/>
          <w:color w:val="000000"/>
          <w:sz w:val="40"/>
          <w:szCs w:val="40"/>
        </w:rPr>
        <w:t>2015</w:t>
      </w:r>
    </w:p>
    <w:p w:rsidR="009167BC" w:rsidRDefault="009167BC" w:rsidP="009167BC">
      <w:pPr>
        <w:pStyle w:val="Heading1"/>
        <w:rPr>
          <w:noProof w:val="0"/>
          <w:sz w:val="40"/>
          <w:szCs w:val="40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p w:rsidR="00804FD2" w:rsidRDefault="00804FD2" w:rsidP="00804FD2">
      <w:pPr>
        <w:bidi w:val="0"/>
      </w:pPr>
    </w:p>
    <w:p w:rsidR="00804FD2" w:rsidRPr="00804FD2" w:rsidRDefault="00804FD2" w:rsidP="00804FD2">
      <w:pPr>
        <w:bidi w:val="0"/>
        <w:rPr>
          <w:sz w:val="8"/>
          <w:szCs w:val="8"/>
          <w:lang w:eastAsia="ar-JO" w:bidi="ar-JO"/>
        </w:rPr>
      </w:pPr>
    </w:p>
    <w:p w:rsidR="009167BC" w:rsidRDefault="009167BC" w:rsidP="009167BC">
      <w:pPr>
        <w:bidi w:val="0"/>
        <w:rPr>
          <w:lang w:eastAsia="ar-JO" w:bidi="ar-JO"/>
        </w:rPr>
      </w:pPr>
    </w:p>
    <w:p w:rsidR="009167BC" w:rsidRDefault="009167BC" w:rsidP="009167BC">
      <w:pPr>
        <w:bidi w:val="0"/>
        <w:rPr>
          <w:lang w:eastAsia="ar-JO" w:bidi="ar-JO"/>
        </w:rPr>
      </w:pPr>
    </w:p>
    <w:p w:rsidR="009167BC" w:rsidRDefault="009167BC" w:rsidP="009167BC">
      <w:pPr>
        <w:jc w:val="right"/>
        <w:rPr>
          <w:sz w:val="16"/>
          <w:szCs w:val="16"/>
          <w:rtl/>
        </w:rPr>
      </w:pPr>
    </w:p>
    <w:p w:rsidR="009167BC" w:rsidRDefault="009167BC" w:rsidP="00D0115B">
      <w:pPr>
        <w:pStyle w:val="Heading1"/>
        <w:rPr>
          <w:color w:val="000000"/>
          <w:szCs w:val="28"/>
        </w:rPr>
      </w:pPr>
      <w:r>
        <w:rPr>
          <w:color w:val="000000"/>
          <w:szCs w:val="28"/>
        </w:rPr>
        <w:t>February</w:t>
      </w:r>
      <w:r w:rsidR="00804FD2">
        <w:rPr>
          <w:color w:val="000000"/>
          <w:szCs w:val="28"/>
        </w:rPr>
        <w:t xml:space="preserve">, </w:t>
      </w:r>
      <w:r w:rsidR="00D0115B">
        <w:rPr>
          <w:color w:val="000000"/>
          <w:szCs w:val="28"/>
        </w:rPr>
        <w:t>2017</w:t>
      </w:r>
    </w:p>
    <w:p w:rsidR="009167BC" w:rsidRPr="0018745B" w:rsidRDefault="009167BC" w:rsidP="009167BC">
      <w:pPr>
        <w:rPr>
          <w:lang w:eastAsia="en-US"/>
        </w:rPr>
      </w:pPr>
    </w:p>
    <w:p w:rsidR="009167BC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9167BC" w:rsidRPr="00FA5173" w:rsidRDefault="009167BC" w:rsidP="009167BC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lastRenderedPageBreak/>
        <w:t>PAGE NUMBERS OF ENGLISH TEXT ARE PRINTED IN SQUARE BRACKETS.  TABLES ARE PRINTED IN ARABIC ORDER (FROM RIGHT TO LEFT).</w:t>
      </w:r>
    </w:p>
    <w:p w:rsidR="009167BC" w:rsidRPr="00DB3DC6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665426" w:rsidRDefault="00665426" w:rsidP="00E320F6">
      <w:pPr>
        <w:rPr>
          <w:color w:val="000000"/>
          <w:sz w:val="22"/>
          <w:szCs w:val="22"/>
          <w:rtl/>
        </w:rPr>
      </w:pPr>
    </w:p>
    <w:p w:rsidR="00665426" w:rsidRDefault="00665426" w:rsidP="009167BC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Ind w:w="10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8930"/>
      </w:tblGrid>
      <w:tr w:rsidR="009167BC" w:rsidTr="000A2CA3">
        <w:trPr>
          <w:trHeight w:val="1112"/>
          <w:jc w:val="center"/>
        </w:trPr>
        <w:tc>
          <w:tcPr>
            <w:tcW w:w="8930" w:type="dxa"/>
          </w:tcPr>
          <w:p w:rsidR="009167BC" w:rsidRPr="00342EAD" w:rsidRDefault="009167BC" w:rsidP="000A2CA3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9167BC" w:rsidRDefault="009167BC" w:rsidP="009167BC">
      <w:pPr>
        <w:jc w:val="right"/>
        <w:rPr>
          <w:color w:val="000000"/>
          <w:rtl/>
          <w:lang w:val="en-GB"/>
        </w:rPr>
      </w:pPr>
    </w:p>
    <w:p w:rsidR="009167BC" w:rsidRDefault="009167BC" w:rsidP="009167BC">
      <w:pPr>
        <w:bidi w:val="0"/>
        <w:jc w:val="both"/>
        <w:rPr>
          <w:color w:val="000000"/>
        </w:rPr>
      </w:pPr>
    </w:p>
    <w:p w:rsidR="00E320F6" w:rsidRDefault="00E320F6" w:rsidP="00E320F6">
      <w:pPr>
        <w:bidi w:val="0"/>
        <w:jc w:val="center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2"/>
          <w:szCs w:val="22"/>
          <w:lang w:eastAsia="en-US"/>
        </w:rPr>
        <w:drawing>
          <wp:inline distT="0" distB="0" distL="0" distR="0">
            <wp:extent cx="2943225" cy="2733675"/>
            <wp:effectExtent l="19050" t="0" r="9525" b="0"/>
            <wp:docPr id="2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nsus 2017 logo 00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7BC" w:rsidRDefault="009167BC" w:rsidP="009167BC">
      <w:pPr>
        <w:bidi w:val="0"/>
        <w:jc w:val="both"/>
        <w:rPr>
          <w:color w:val="000000"/>
        </w:rPr>
      </w:pPr>
    </w:p>
    <w:p w:rsidR="009167BC" w:rsidRDefault="009167BC" w:rsidP="009167BC">
      <w:pPr>
        <w:bidi w:val="0"/>
        <w:jc w:val="both"/>
        <w:rPr>
          <w:color w:val="000000"/>
        </w:rPr>
      </w:pPr>
    </w:p>
    <w:p w:rsidR="009167BC" w:rsidRDefault="009167BC" w:rsidP="009167BC">
      <w:pPr>
        <w:bidi w:val="0"/>
        <w:jc w:val="both"/>
        <w:rPr>
          <w:color w:val="000000"/>
        </w:rPr>
      </w:pPr>
    </w:p>
    <w:p w:rsidR="009167BC" w:rsidRDefault="009167BC" w:rsidP="00D0115B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February </w:t>
      </w:r>
      <w:r w:rsidR="00D0115B">
        <w:rPr>
          <w:color w:val="000000"/>
          <w:sz w:val="20"/>
          <w:szCs w:val="20"/>
        </w:rPr>
        <w:t>2017</w:t>
      </w:r>
      <w:r>
        <w:rPr>
          <w:color w:val="000000"/>
          <w:sz w:val="20"/>
          <w:szCs w:val="20"/>
        </w:rPr>
        <w:t>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D0115B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Ministry of Health, </w:t>
      </w:r>
      <w:r w:rsidR="00D0115B">
        <w:rPr>
          <w:rFonts w:ascii="Times New Roman" w:hAnsi="Times New Roman"/>
          <w:color w:val="000000"/>
          <w:sz w:val="24"/>
          <w:szCs w:val="24"/>
        </w:rPr>
        <w:t>2017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.   Palestinian Health Accounts </w:t>
      </w:r>
      <w:r w:rsidR="00D0115B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2015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Ramallah - Palestine.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</w:p>
    <w:p w:rsidR="009167BC" w:rsidRDefault="009167BC" w:rsidP="009167BC">
      <w:pPr>
        <w:bidi w:val="0"/>
        <w:spacing w:before="40" w:after="40"/>
        <w:rPr>
          <w:sz w:val="20"/>
          <w:szCs w:val="20"/>
        </w:rPr>
      </w:pPr>
      <w:r>
        <w:rPr>
          <w:sz w:val="20"/>
          <w:szCs w:val="20"/>
        </w:rPr>
        <w:t>All correspondence should</w:t>
      </w:r>
      <w:r>
        <w:rPr>
          <w:sz w:val="20"/>
          <w:szCs w:val="20"/>
          <w:rtl/>
          <w:lang w:val="en-AU"/>
        </w:rPr>
        <w:t xml:space="preserve"> </w:t>
      </w:r>
      <w:r>
        <w:rPr>
          <w:sz w:val="20"/>
          <w:szCs w:val="20"/>
        </w:rPr>
        <w:t>be directed to</w:t>
      </w:r>
      <w:r>
        <w:rPr>
          <w:sz w:val="20"/>
          <w:szCs w:val="20"/>
          <w:rtl/>
          <w:lang w:val="en-AU"/>
        </w:rPr>
        <w:t>:</w:t>
      </w:r>
    </w:p>
    <w:tbl>
      <w:tblPr>
        <w:tblW w:w="9322" w:type="dxa"/>
        <w:tblLayout w:type="fixed"/>
        <w:tblLook w:val="0000"/>
      </w:tblPr>
      <w:tblGrid>
        <w:gridCol w:w="5148"/>
        <w:gridCol w:w="4174"/>
      </w:tblGrid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pStyle w:val="Heading3"/>
              <w:bidi w:val="0"/>
              <w:jc w:val="left"/>
              <w:rPr>
                <w:rFonts w:cs="Traditional Arabic"/>
                <w:noProof w:val="0"/>
                <w:lang w:val="en-AU"/>
              </w:rPr>
            </w:pPr>
            <w:r>
              <w:rPr>
                <w:rFonts w:cs="Traditional Arabic"/>
              </w:rPr>
              <w:t>Palestinian Central Bureau of Statistics                      Or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pStyle w:val="Heading3"/>
              <w:bidi w:val="0"/>
              <w:jc w:val="left"/>
              <w:rPr>
                <w:rFonts w:cs="Traditional Arabic"/>
                <w:noProof w:val="0"/>
              </w:rPr>
            </w:pPr>
            <w:r>
              <w:rPr>
                <w:rFonts w:cs="Simplified Arabic"/>
              </w:rPr>
              <w:t>Ministry of Health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P.O.Box 1647,  Ramallah- Palestine.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P.O. Box 14, Nablus- Palestine.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top w:val="nil"/>
              <w:left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174" w:type="dxa"/>
            <w:tcBorders>
              <w:top w:val="nil"/>
              <w:left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10"/>
                <w:szCs w:val="10"/>
              </w:rPr>
            </w:pPr>
          </w:p>
        </w:tc>
      </w:tr>
      <w:tr w:rsidR="009167BC" w:rsidTr="000A2CA3">
        <w:trPr>
          <w:trHeight w:val="235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2 2982700</w:t>
            </w:r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9 238 4771-6</w:t>
            </w:r>
          </w:p>
        </w:tc>
      </w:tr>
      <w:tr w:rsidR="009167BC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</w:rPr>
              <w:t>Fax:  (972/970) 2 2982710</w:t>
            </w:r>
          </w:p>
        </w:tc>
        <w:tc>
          <w:tcPr>
            <w:tcW w:w="4174" w:type="dxa"/>
          </w:tcPr>
          <w:p w:rsidR="009167BC" w:rsidRDefault="009167BC" w:rsidP="000A2CA3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>
              <w:rPr>
                <w:rFonts w:cs="Traditional Arabic"/>
                <w:b w:val="0"/>
                <w:bCs w:val="0"/>
                <w:sz w:val="20"/>
                <w:szCs w:val="20"/>
              </w:rPr>
              <w:t>(972/970) 9 238 4777</w:t>
            </w:r>
          </w:p>
        </w:tc>
      </w:tr>
      <w:tr w:rsidR="009167BC" w:rsidRPr="00056313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  </w:t>
            </w:r>
            <w:hyperlink r:id="rId10" w:history="1">
              <w:r>
                <w:rPr>
                  <w:rStyle w:val="Hyperlink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</w:t>
            </w:r>
            <w:hyperlink r:id="rId11" w:history="1">
              <w:r w:rsidRPr="00113758">
                <w:rPr>
                  <w:rStyle w:val="Hyperlink"/>
                  <w:rFonts w:cs="Simplified Arabic"/>
                  <w:sz w:val="20"/>
                  <w:szCs w:val="20"/>
                  <w:lang w:val="fr-FR"/>
                </w:rPr>
                <w:t>Palestinian.ministry.of.health@gmail.com</w:t>
              </w:r>
            </w:hyperlink>
          </w:p>
        </w:tc>
      </w:tr>
      <w:tr w:rsidR="009167BC" w:rsidTr="000A2CA3">
        <w:trPr>
          <w:trHeight w:val="227"/>
        </w:trPr>
        <w:tc>
          <w:tcPr>
            <w:tcW w:w="5148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rtl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Toll free.: </w:t>
            </w:r>
            <w:r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</w:tc>
        <w:tc>
          <w:tcPr>
            <w:tcW w:w="4174" w:type="dxa"/>
          </w:tcPr>
          <w:p w:rsidR="009167BC" w:rsidRDefault="009167BC" w:rsidP="000A2CA3">
            <w:pPr>
              <w:bidi w:val="0"/>
              <w:rPr>
                <w:sz w:val="20"/>
                <w:szCs w:val="20"/>
                <w:lang w:val="fr-FR" w:eastAsia="fr-FR"/>
              </w:rPr>
            </w:pPr>
          </w:p>
        </w:tc>
      </w:tr>
      <w:tr w:rsidR="009167BC" w:rsidTr="000A2CA3">
        <w:trPr>
          <w:trHeight w:val="227"/>
        </w:trPr>
        <w:tc>
          <w:tcPr>
            <w:tcW w:w="5148" w:type="dxa"/>
            <w:tcBorders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Web-site:  </w:t>
            </w:r>
            <w:hyperlink r:id="rId12" w:history="1">
              <w:r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</w:tc>
        <w:tc>
          <w:tcPr>
            <w:tcW w:w="4174" w:type="dxa"/>
            <w:tcBorders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Web-site:  http://www.</w:t>
            </w:r>
            <w:r>
              <w:rPr>
                <w:sz w:val="20"/>
                <w:szCs w:val="20"/>
                <w:lang w:val="fr-FR" w:eastAsia="fr-FR"/>
              </w:rPr>
              <w:t xml:space="preserve"> moh.ps</w:t>
            </w:r>
          </w:p>
        </w:tc>
      </w:tr>
    </w:tbl>
    <w:p w:rsidR="009167BC" w:rsidRDefault="009167BC" w:rsidP="009167BC">
      <w:pPr>
        <w:pStyle w:val="Heading2"/>
        <w:ind w:left="360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</w:t>
      </w:r>
    </w:p>
    <w:p w:rsidR="009167BC" w:rsidRDefault="00665426" w:rsidP="00907F31">
      <w:pPr>
        <w:pStyle w:val="Heading2"/>
        <w:ind w:left="3600"/>
        <w:rPr>
          <w:color w:val="000000"/>
        </w:rPr>
      </w:pPr>
      <w:r>
        <w:rPr>
          <w:color w:val="000000"/>
          <w:sz w:val="24"/>
          <w:szCs w:val="24"/>
        </w:rPr>
        <w:t xml:space="preserve">                  </w:t>
      </w:r>
      <w:r w:rsidR="00741F32" w:rsidRPr="005C45BF">
        <w:rPr>
          <w:color w:val="000000"/>
          <w:sz w:val="24"/>
          <w:szCs w:val="24"/>
        </w:rPr>
        <w:t>Reference</w:t>
      </w:r>
      <w:r w:rsidR="009167BC" w:rsidRPr="005C45BF">
        <w:rPr>
          <w:color w:val="000000"/>
          <w:sz w:val="24"/>
          <w:szCs w:val="24"/>
        </w:rPr>
        <w:t xml:space="preserve"> </w:t>
      </w:r>
      <w:r w:rsidR="00907F31">
        <w:rPr>
          <w:color w:val="000000"/>
          <w:sz w:val="24"/>
          <w:szCs w:val="24"/>
        </w:rPr>
        <w:t>ID</w:t>
      </w:r>
      <w:r w:rsidR="009167BC" w:rsidRPr="005C45BF">
        <w:rPr>
          <w:color w:val="000000"/>
          <w:sz w:val="24"/>
          <w:szCs w:val="24"/>
        </w:rPr>
        <w:t>:</w:t>
      </w:r>
      <w:r w:rsidR="008347CB" w:rsidRPr="008347CB">
        <w:rPr>
          <w:color w:val="000000"/>
          <w:sz w:val="24"/>
          <w:szCs w:val="24"/>
        </w:rPr>
        <w:t xml:space="preserve"> </w:t>
      </w:r>
      <w:r w:rsidR="007846BA">
        <w:rPr>
          <w:color w:val="000000"/>
          <w:sz w:val="24"/>
          <w:szCs w:val="24"/>
        </w:rPr>
        <w:t>2253</w:t>
      </w:r>
    </w:p>
    <w:p w:rsidR="009167BC" w:rsidRDefault="009167BC" w:rsidP="009167BC">
      <w:pPr>
        <w:pStyle w:val="Heading2"/>
        <w:ind w:left="3600" w:hanging="3600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9167BC" w:rsidRDefault="009167BC" w:rsidP="009167BC">
      <w:pPr>
        <w:bidi w:val="0"/>
        <w:jc w:val="both"/>
        <w:rPr>
          <w:b/>
          <w:bCs/>
          <w:color w:val="000000"/>
        </w:rPr>
      </w:pPr>
    </w:p>
    <w:p w:rsidR="009167BC" w:rsidRPr="003172C0" w:rsidRDefault="009167BC" w:rsidP="00FF5EAF">
      <w:pPr>
        <w:bidi w:val="0"/>
        <w:jc w:val="lowKashida"/>
        <w:rPr>
          <w:b/>
          <w:bCs/>
        </w:rPr>
      </w:pPr>
      <w:r w:rsidRPr="003172C0">
        <w:rPr>
          <w:b/>
          <w:bCs/>
        </w:rPr>
        <w:t>The Palestinian Central Bureau of Statistics (PCBS) extends its</w:t>
      </w:r>
      <w:r w:rsidR="00FF5EAF">
        <w:rPr>
          <w:b/>
          <w:bCs/>
        </w:rPr>
        <w:t xml:space="preserve"> sincere gratitude and</w:t>
      </w:r>
      <w:r w:rsidRPr="003172C0">
        <w:rPr>
          <w:b/>
          <w:bCs/>
        </w:rPr>
        <w:t xml:space="preserve"> appreciation to all </w:t>
      </w:r>
      <w:r>
        <w:rPr>
          <w:b/>
          <w:bCs/>
        </w:rPr>
        <w:t xml:space="preserve">the major official sources of data for their </w:t>
      </w:r>
      <w:r w:rsidRPr="003172C0">
        <w:rPr>
          <w:b/>
          <w:bCs/>
        </w:rPr>
        <w:t>contribution</w:t>
      </w:r>
      <w:r w:rsidR="00FF5EAF">
        <w:rPr>
          <w:b/>
          <w:bCs/>
        </w:rPr>
        <w:t xml:space="preserve"> to the success of collecting the data </w:t>
      </w:r>
      <w:r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>
        <w:rPr>
          <w:b/>
          <w:bCs/>
        </w:rPr>
        <w:t xml:space="preserve">the </w:t>
      </w:r>
      <w:r w:rsidRPr="003172C0">
        <w:rPr>
          <w:b/>
          <w:bCs/>
        </w:rPr>
        <w:t>National</w:t>
      </w:r>
      <w:r>
        <w:rPr>
          <w:b/>
          <w:bCs/>
        </w:rPr>
        <w:t xml:space="preserve"> Health</w:t>
      </w:r>
      <w:r w:rsidRPr="003172C0">
        <w:rPr>
          <w:b/>
          <w:bCs/>
        </w:rPr>
        <w:t xml:space="preserve"> Accounts.  </w:t>
      </w:r>
    </w:p>
    <w:p w:rsidR="009167BC" w:rsidRPr="003172C0" w:rsidRDefault="009167BC" w:rsidP="009167BC">
      <w:pPr>
        <w:bidi w:val="0"/>
        <w:jc w:val="lowKashida"/>
        <w:rPr>
          <w:b/>
          <w:bCs/>
          <w:color w:val="000000" w:themeColor="text1"/>
        </w:rPr>
      </w:pPr>
    </w:p>
    <w:p w:rsidR="009167BC" w:rsidRPr="00F456A9" w:rsidRDefault="009167BC" w:rsidP="00FF5EAF">
      <w:pPr>
        <w:tabs>
          <w:tab w:val="left" w:pos="4395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  <w:r>
        <w:rPr>
          <w:b/>
          <w:bCs/>
          <w:color w:val="000000"/>
          <w:lang w:eastAsia="en-US"/>
        </w:rPr>
        <w:t xml:space="preserve">The </w:t>
      </w:r>
      <w:r w:rsidRPr="003172C0">
        <w:rPr>
          <w:b/>
          <w:bCs/>
        </w:rPr>
        <w:t xml:space="preserve">National </w:t>
      </w:r>
      <w:r>
        <w:rPr>
          <w:b/>
          <w:bCs/>
        </w:rPr>
        <w:t>Health Accounts report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 xml:space="preserve">for 2014-2015 </w:t>
      </w:r>
      <w:r>
        <w:rPr>
          <w:b/>
          <w:bCs/>
          <w:color w:val="000000"/>
          <w:lang w:eastAsia="en-US"/>
        </w:rPr>
        <w:t xml:space="preserve">was prepared by a technical team from PCBS </w:t>
      </w:r>
      <w:r w:rsidRPr="00B630C0">
        <w:rPr>
          <w:b/>
          <w:bCs/>
          <w:color w:val="000000"/>
          <w:lang w:eastAsia="en-US"/>
        </w:rPr>
        <w:t>in partners</w:t>
      </w:r>
      <w:r w:rsidR="00FF5EAF">
        <w:rPr>
          <w:b/>
          <w:bCs/>
          <w:color w:val="000000"/>
          <w:lang w:eastAsia="en-US"/>
        </w:rPr>
        <w:t>hip with the Ministry of Health with joint funding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>by</w:t>
      </w:r>
      <w:r>
        <w:rPr>
          <w:b/>
          <w:bCs/>
          <w:color w:val="000000"/>
          <w:lang w:eastAsia="en-US"/>
        </w:rPr>
        <w:t xml:space="preserve"> the State of Palestine and the Core Funding Group (CFG)</w:t>
      </w:r>
      <w:r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, </w:t>
      </w:r>
      <w:r w:rsidRPr="00B630C0">
        <w:rPr>
          <w:rFonts w:asciiTheme="majorBidi" w:hAnsiTheme="majorBidi" w:cstheme="majorBidi"/>
          <w:b/>
          <w:bCs/>
          <w:color w:val="000000" w:themeColor="text1"/>
          <w:lang w:eastAsia="en-US"/>
        </w:rPr>
        <w:t>represented</w:t>
      </w:r>
      <w:r>
        <w:rPr>
          <w:b/>
          <w:bCs/>
          <w:color w:val="000000"/>
          <w:lang w:eastAsia="en-US"/>
        </w:rPr>
        <w:t xml:space="preserve"> by the Representative Office of Norway to the State of Palestine and the Swiss Development and Cooperation Agency (SDC).</w:t>
      </w:r>
    </w:p>
    <w:p w:rsidR="009167BC" w:rsidRDefault="009167BC" w:rsidP="009167BC">
      <w:pPr>
        <w:bidi w:val="0"/>
        <w:jc w:val="lowKashida"/>
        <w:rPr>
          <w:b/>
          <w:bCs/>
          <w:lang w:eastAsia="en-US"/>
        </w:rPr>
      </w:pPr>
    </w:p>
    <w:p w:rsidR="009167BC" w:rsidRPr="00CE23CB" w:rsidRDefault="009167BC" w:rsidP="00FF5EAF">
      <w:pPr>
        <w:bidi w:val="0"/>
        <w:jc w:val="lowKashida"/>
        <w:rPr>
          <w:b/>
          <w:bCs/>
        </w:rPr>
      </w:pPr>
      <w:r>
        <w:rPr>
          <w:b/>
          <w:bCs/>
          <w:lang w:eastAsia="en-US"/>
        </w:rPr>
        <w:t xml:space="preserve">PCBS </w:t>
      </w:r>
      <w:r w:rsidR="00FF5EAF">
        <w:rPr>
          <w:b/>
          <w:bCs/>
          <w:lang w:eastAsia="en-US"/>
        </w:rPr>
        <w:t>also extends its sincere gratitude and appreciation to the members of the</w:t>
      </w:r>
      <w:r w:rsidR="0020175C">
        <w:rPr>
          <w:b/>
          <w:bCs/>
          <w:lang w:eastAsia="en-US"/>
        </w:rPr>
        <w:t xml:space="preserve"> Core Funding Group (CFG) for</w:t>
      </w:r>
      <w:r>
        <w:rPr>
          <w:b/>
          <w:bCs/>
          <w:lang w:eastAsia="en-US"/>
        </w:rPr>
        <w:t xml:space="preserve"> th</w:t>
      </w:r>
      <w:r w:rsidR="00FF5EAF">
        <w:rPr>
          <w:b/>
          <w:bCs/>
          <w:lang w:eastAsia="en-US"/>
        </w:rPr>
        <w:t>eir invaluable contribution in funding the project.</w:t>
      </w:r>
    </w:p>
    <w:p w:rsidR="009167BC" w:rsidRDefault="009167BC" w:rsidP="009167BC">
      <w:pPr>
        <w:tabs>
          <w:tab w:val="left" w:pos="4395"/>
          <w:tab w:val="right" w:pos="9071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Pr="00AC6455" w:rsidRDefault="009167BC" w:rsidP="009167BC">
      <w:pPr>
        <w:pStyle w:val="Heading2"/>
        <w:rPr>
          <w:b w:val="0"/>
          <w:bCs w:val="0"/>
        </w:rPr>
      </w:pPr>
      <w:r w:rsidRPr="00AC6455">
        <w:rPr>
          <w:b w:val="0"/>
          <w:bCs w:val="0"/>
          <w:color w:val="000000"/>
          <w:sz w:val="32"/>
          <w:szCs w:val="32"/>
        </w:rPr>
        <w:br w:type="page"/>
      </w:r>
      <w:r w:rsidRPr="00AC6455">
        <w:rPr>
          <w:b w:val="0"/>
          <w:bCs w:val="0"/>
          <w:color w:val="000000"/>
          <w:sz w:val="32"/>
          <w:szCs w:val="32"/>
        </w:rPr>
        <w:lastRenderedPageBreak/>
        <w:br w:type="page"/>
      </w:r>
      <w:r w:rsidRPr="00AC6455">
        <w:lastRenderedPageBreak/>
        <w:t xml:space="preserve"> Work Team  </w:t>
      </w:r>
    </w:p>
    <w:p w:rsidR="009167BC" w:rsidRPr="00665426" w:rsidRDefault="009167BC" w:rsidP="009167BC">
      <w:pPr>
        <w:pStyle w:val="Heading2"/>
        <w:rPr>
          <w:b w:val="0"/>
          <w:bCs w:val="0"/>
          <w:color w:val="000000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Report Preparation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bidi w:val="0"/>
        <w:spacing w:before="40"/>
        <w:ind w:left="426" w:hanging="284"/>
        <w:jc w:val="left"/>
        <w:rPr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>Palestinian Central Bureau of Statistics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Rami Al Dibs</w:t>
      </w:r>
    </w:p>
    <w:p w:rsidR="009167BC" w:rsidRPr="00E3360B" w:rsidRDefault="009167BC" w:rsidP="00E3360B">
      <w:pPr>
        <w:pStyle w:val="Heading3"/>
        <w:tabs>
          <w:tab w:val="left" w:pos="531"/>
          <w:tab w:val="left" w:pos="5637"/>
        </w:tabs>
        <w:bidi w:val="0"/>
        <w:spacing w:before="40"/>
        <w:ind w:left="284" w:firstLine="142"/>
        <w:jc w:val="left"/>
        <w:rPr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Hani Al</w:t>
      </w:r>
      <w:r w:rsidR="005317CE" w:rsidRPr="00E3360B">
        <w:rPr>
          <w:b w:val="0"/>
          <w:bCs w:val="0"/>
          <w:color w:val="000000"/>
          <w:sz w:val="24"/>
          <w:szCs w:val="24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>Ahmad</w:t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tabs>
          <w:tab w:val="left" w:pos="426"/>
          <w:tab w:val="left" w:pos="5637"/>
        </w:tabs>
        <w:bidi w:val="0"/>
        <w:spacing w:before="40"/>
        <w:ind w:left="567" w:hanging="425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  <w:lang w:val="fr-FR"/>
        </w:rPr>
        <w:t>Ministry</w:t>
      </w:r>
      <w:r w:rsidRPr="00E3360B">
        <w:rPr>
          <w:color w:val="000000"/>
          <w:sz w:val="24"/>
          <w:szCs w:val="24"/>
        </w:rPr>
        <w:t xml:space="preserve"> of Health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right" w:pos="426"/>
        </w:tabs>
        <w:bidi w:val="0"/>
        <w:spacing w:before="40"/>
        <w:ind w:left="426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Samer Jaber </w:t>
      </w:r>
      <w:r w:rsidRPr="00E3360B">
        <w:rPr>
          <w:b w:val="0"/>
          <w:bCs w:val="0"/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Dissemination Standards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Hanan Janajreh</w:t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Preliminary Review </w:t>
      </w:r>
      <w:r w:rsidRPr="00E3360B">
        <w:rPr>
          <w:color w:val="000000"/>
          <w:sz w:val="24"/>
          <w:szCs w:val="24"/>
        </w:rPr>
        <w:tab/>
      </w:r>
    </w:p>
    <w:p w:rsidR="00241F24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 xml:space="preserve">     </w:t>
      </w:r>
      <w:r w:rsidR="00241F24" w:rsidRPr="00E3360B">
        <w:rPr>
          <w:b w:val="0"/>
          <w:bCs w:val="0"/>
          <w:sz w:val="24"/>
          <w:szCs w:val="24"/>
        </w:rPr>
        <w:t>Amina Khasib</w:t>
      </w:r>
    </w:p>
    <w:p w:rsidR="00241F24" w:rsidRPr="00E3360B" w:rsidRDefault="00241F24" w:rsidP="00E3360B">
      <w:pPr>
        <w:bidi w:val="0"/>
        <w:spacing w:before="40"/>
        <w:ind w:left="284"/>
        <w:jc w:val="lowKashida"/>
        <w:rPr>
          <w:b/>
          <w:bCs/>
        </w:rPr>
      </w:pPr>
      <w:r w:rsidRPr="00E3360B">
        <w:t>Husam Khalifa</w:t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sz w:val="24"/>
          <w:szCs w:val="24"/>
        </w:rPr>
        <w:t>Saleh Al Kafri, PhD</w:t>
      </w:r>
      <w:r w:rsidRPr="00E3360B">
        <w:rPr>
          <w:sz w:val="24"/>
          <w:szCs w:val="24"/>
        </w:rPr>
        <w:t xml:space="preserve"> </w:t>
      </w:r>
      <w:r w:rsidRPr="00E3360B">
        <w:rPr>
          <w:b w:val="0"/>
          <w:bCs w:val="0"/>
          <w:noProof w:val="0"/>
          <w:sz w:val="24"/>
          <w:szCs w:val="24"/>
          <w:lang w:eastAsia="ar-SA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Final Review 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</w:t>
      </w:r>
      <w:r w:rsidRPr="00E3360B">
        <w:rPr>
          <w:b w:val="0"/>
          <w:bCs w:val="0"/>
          <w:sz w:val="24"/>
          <w:szCs w:val="24"/>
        </w:rPr>
        <w:t>Mohammad Qalalwa</w:t>
      </w:r>
    </w:p>
    <w:p w:rsidR="009167BC" w:rsidRPr="00E3360B" w:rsidRDefault="009167BC" w:rsidP="00E3360B">
      <w:pPr>
        <w:pStyle w:val="Heading3"/>
        <w:tabs>
          <w:tab w:val="left" w:pos="531"/>
          <w:tab w:val="left" w:pos="774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Overall Supervision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360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Ola Awad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</w:rPr>
        <w:t>President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</w:rPr>
        <w:t>of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 </w:t>
      </w:r>
      <w:r w:rsidRPr="00E3360B">
        <w:rPr>
          <w:b w:val="0"/>
          <w:bCs w:val="0"/>
          <w:color w:val="000000"/>
          <w:sz w:val="24"/>
          <w:szCs w:val="24"/>
        </w:rPr>
        <w:t xml:space="preserve">PCBS </w:t>
      </w:r>
    </w:p>
    <w:p w:rsidR="009167BC" w:rsidRPr="00AC6455" w:rsidRDefault="009167BC" w:rsidP="009167BC">
      <w:pPr>
        <w:pStyle w:val="Heading3"/>
        <w:tabs>
          <w:tab w:val="left" w:pos="531"/>
          <w:tab w:val="left" w:pos="7740"/>
        </w:tabs>
        <w:bidi w:val="0"/>
        <w:jc w:val="left"/>
        <w:rPr>
          <w:b w:val="0"/>
          <w:bCs w:val="0"/>
          <w:color w:val="000000"/>
          <w:sz w:val="24"/>
          <w:szCs w:val="24"/>
        </w:rPr>
      </w:pPr>
      <w:r w:rsidRPr="00AC6455">
        <w:rPr>
          <w:b w:val="0"/>
          <w:bCs w:val="0"/>
          <w:color w:val="000000"/>
          <w:sz w:val="24"/>
          <w:szCs w:val="24"/>
        </w:rPr>
        <w:tab/>
      </w:r>
      <w:r w:rsidRPr="00AC6455">
        <w:rPr>
          <w:b w:val="0"/>
          <w:bCs w:val="0"/>
          <w:color w:val="000000"/>
          <w:sz w:val="24"/>
          <w:szCs w:val="24"/>
        </w:rPr>
        <w:tab/>
      </w:r>
    </w:p>
    <w:p w:rsidR="009167BC" w:rsidRPr="00AC6455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D07F59" w:rsidRPr="00C522DC" w:rsidRDefault="009167BC" w:rsidP="00D07F59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D07F59">
        <w:rPr>
          <w:b/>
          <w:bCs/>
          <w:sz w:val="28"/>
          <w:szCs w:val="28"/>
        </w:rPr>
        <w:lastRenderedPageBreak/>
        <w:t xml:space="preserve">Notes for Users </w:t>
      </w:r>
    </w:p>
    <w:p w:rsidR="00D07F59" w:rsidRDefault="00D07F59" w:rsidP="00D07F59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07F59" w:rsidRDefault="00D07F59" w:rsidP="003E6F81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szCs w:val="28"/>
        </w:rPr>
        <w:t>PCBS has adopted the</w:t>
      </w:r>
      <w:r>
        <w:rPr>
          <w:sz w:val="23"/>
          <w:szCs w:val="23"/>
        </w:rPr>
        <w:t xml:space="preserve"> </w:t>
      </w:r>
      <w:r>
        <w:rPr>
          <w:color w:val="000000"/>
          <w:szCs w:val="28"/>
        </w:rPr>
        <w:t>System of Health Accounts</w:t>
      </w:r>
      <w:r w:rsidR="00C71FD6">
        <w:rPr>
          <w:color w:val="000000"/>
          <w:szCs w:val="28"/>
        </w:rPr>
        <w:t>, 2011 edition,</w:t>
      </w:r>
      <w:r>
        <w:rPr>
          <w:color w:val="000000"/>
          <w:szCs w:val="28"/>
        </w:rPr>
        <w:t xml:space="preserve"> </w:t>
      </w:r>
      <w:r w:rsidR="00C71FD6">
        <w:rPr>
          <w:color w:val="000000"/>
          <w:szCs w:val="28"/>
        </w:rPr>
        <w:t xml:space="preserve">which was issued by </w:t>
      </w:r>
      <w:r>
        <w:rPr>
          <w:sz w:val="23"/>
          <w:szCs w:val="23"/>
        </w:rPr>
        <w:t>the Organization</w:t>
      </w:r>
      <w:r>
        <w:rPr>
          <w:rFonts w:hint="cs"/>
          <w:sz w:val="23"/>
          <w:szCs w:val="23"/>
        </w:rPr>
        <w:t xml:space="preserve"> for Economic Co-operation and Development</w:t>
      </w:r>
      <w:r>
        <w:rPr>
          <w:color w:val="000000"/>
          <w:szCs w:val="28"/>
        </w:rPr>
        <w:t xml:space="preserve"> (OECD)</w:t>
      </w:r>
      <w:r w:rsidR="003E6F81">
        <w:rPr>
          <w:color w:val="000000"/>
          <w:szCs w:val="28"/>
        </w:rPr>
        <w:t xml:space="preserve">, </w:t>
      </w:r>
      <w:r w:rsidR="00C71FD6">
        <w:rPr>
          <w:color w:val="000000"/>
          <w:szCs w:val="28"/>
        </w:rPr>
        <w:t xml:space="preserve">World </w:t>
      </w:r>
      <w:r w:rsidR="003E6F81">
        <w:rPr>
          <w:color w:val="000000"/>
          <w:szCs w:val="28"/>
        </w:rPr>
        <w:t>H</w:t>
      </w:r>
      <w:r w:rsidR="00C71FD6">
        <w:rPr>
          <w:color w:val="000000"/>
          <w:szCs w:val="28"/>
        </w:rPr>
        <w:t xml:space="preserve">ealth </w:t>
      </w:r>
      <w:r w:rsidR="003E6F81">
        <w:rPr>
          <w:color w:val="000000"/>
          <w:szCs w:val="28"/>
        </w:rPr>
        <w:t>O</w:t>
      </w:r>
      <w:r w:rsidR="00C71FD6">
        <w:rPr>
          <w:color w:val="000000"/>
          <w:szCs w:val="28"/>
        </w:rPr>
        <w:t xml:space="preserve">rganization (WHO) and European Union (Eurostat) </w:t>
      </w:r>
      <w:r>
        <w:rPr>
          <w:color w:val="000000"/>
          <w:szCs w:val="28"/>
        </w:rPr>
        <w:t>as a comprehensive framework for  health statistics</w:t>
      </w:r>
      <w:r w:rsidR="00C71FD6">
        <w:rPr>
          <w:color w:val="000000"/>
          <w:szCs w:val="28"/>
        </w:rPr>
        <w:t xml:space="preserve"> for 2014-2015 data</w:t>
      </w:r>
      <w:r>
        <w:rPr>
          <w:color w:val="000000"/>
          <w:szCs w:val="28"/>
        </w:rPr>
        <w:t>.</w:t>
      </w:r>
      <w:r w:rsidR="00C71FD6">
        <w:rPr>
          <w:color w:val="000000"/>
          <w:lang w:eastAsia="en-US"/>
        </w:rPr>
        <w:t xml:space="preserve"> In the past</w:t>
      </w:r>
      <w:r w:rsidR="00D21539">
        <w:rPr>
          <w:color w:val="000000"/>
          <w:lang w:eastAsia="en-US"/>
        </w:rPr>
        <w:t>,</w:t>
      </w:r>
      <w:r w:rsidR="00C71FD6">
        <w:rPr>
          <w:color w:val="000000"/>
          <w:lang w:eastAsia="en-US"/>
        </w:rPr>
        <w:t xml:space="preserve"> PCBS has </w:t>
      </w:r>
      <w:r w:rsidR="00C71FD6">
        <w:rPr>
          <w:color w:val="000000"/>
          <w:szCs w:val="28"/>
        </w:rPr>
        <w:t>adopted the</w:t>
      </w:r>
      <w:r w:rsidR="00C71FD6">
        <w:rPr>
          <w:sz w:val="23"/>
          <w:szCs w:val="23"/>
        </w:rPr>
        <w:t xml:space="preserve"> </w:t>
      </w:r>
      <w:r w:rsidR="00C71FD6">
        <w:rPr>
          <w:color w:val="000000"/>
          <w:szCs w:val="28"/>
        </w:rPr>
        <w:t>System of Health Accounts</w:t>
      </w:r>
      <w:r w:rsidR="00C71FD6">
        <w:rPr>
          <w:color w:val="000000"/>
          <w:lang w:eastAsia="en-US"/>
        </w:rPr>
        <w:t xml:space="preserve"> 2000</w:t>
      </w:r>
      <w:r w:rsidR="00C71FD6" w:rsidRPr="00C71FD6">
        <w:rPr>
          <w:sz w:val="23"/>
          <w:szCs w:val="23"/>
        </w:rPr>
        <w:t xml:space="preserve"> </w:t>
      </w:r>
      <w:r w:rsidR="00C71FD6">
        <w:rPr>
          <w:sz w:val="23"/>
          <w:szCs w:val="23"/>
        </w:rPr>
        <w:t>issued by</w:t>
      </w:r>
      <w:r w:rsidR="00C71FD6" w:rsidRPr="00A236AF">
        <w:rPr>
          <w:rFonts w:hint="cs"/>
          <w:sz w:val="23"/>
          <w:szCs w:val="23"/>
        </w:rPr>
        <w:t xml:space="preserve"> </w:t>
      </w:r>
      <w:r w:rsidR="00C71FD6">
        <w:rPr>
          <w:sz w:val="23"/>
          <w:szCs w:val="23"/>
        </w:rPr>
        <w:t>the Organization</w:t>
      </w:r>
      <w:r w:rsidR="00C71FD6">
        <w:rPr>
          <w:rFonts w:hint="cs"/>
          <w:sz w:val="23"/>
          <w:szCs w:val="23"/>
        </w:rPr>
        <w:t xml:space="preserve"> for Economic Co-operation and Development</w:t>
      </w:r>
      <w:r w:rsidR="00C71FD6">
        <w:rPr>
          <w:color w:val="000000"/>
          <w:szCs w:val="28"/>
        </w:rPr>
        <w:t xml:space="preserve"> (OECD)</w:t>
      </w:r>
      <w:r w:rsidR="00356D9B">
        <w:rPr>
          <w:color w:val="000000"/>
          <w:lang w:eastAsia="en-US"/>
        </w:rPr>
        <w:t xml:space="preserve"> for Palestinian health accounts 2000-2014.</w:t>
      </w:r>
    </w:p>
    <w:p w:rsidR="005A2178" w:rsidRDefault="00D21539" w:rsidP="006A3B50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Due to the adoption of the</w:t>
      </w:r>
      <w:r w:rsidR="00A805F6">
        <w:rPr>
          <w:color w:val="000000"/>
          <w:lang w:eastAsia="en-US"/>
        </w:rPr>
        <w:t xml:space="preserve"> </w:t>
      </w:r>
      <w:r w:rsidR="00A805F6">
        <w:rPr>
          <w:color w:val="000000"/>
          <w:szCs w:val="28"/>
        </w:rPr>
        <w:t xml:space="preserve">System of Health Accounts (SHA 2011), </w:t>
      </w:r>
      <w:r w:rsidR="00047C52">
        <w:rPr>
          <w:color w:val="000000"/>
          <w:szCs w:val="28"/>
        </w:rPr>
        <w:t>the data in this report is</w:t>
      </w:r>
      <w:r w:rsidR="006A6174">
        <w:rPr>
          <w:color w:val="000000"/>
          <w:szCs w:val="28"/>
        </w:rPr>
        <w:t xml:space="preserve"> not </w:t>
      </w:r>
      <w:r w:rsidR="006A3B50">
        <w:rPr>
          <w:color w:val="000000"/>
          <w:szCs w:val="28"/>
        </w:rPr>
        <w:t>consistent with 2014 data which was published previously.</w:t>
      </w:r>
    </w:p>
    <w:p w:rsidR="00D363BB" w:rsidRDefault="00DA1D22" w:rsidP="00D363BB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A1D22">
        <w:rPr>
          <w:color w:val="000000"/>
          <w:lang w:eastAsia="en-US"/>
        </w:rPr>
        <w:t>SHA 2011 introduces a number of changes and improvements compared with previous system of health accounts, are summarized</w:t>
      </w:r>
      <w:r w:rsidR="00184286">
        <w:rPr>
          <w:color w:val="000000"/>
          <w:lang w:eastAsia="en-US"/>
        </w:rPr>
        <w:t xml:space="preserve"> as following</w:t>
      </w:r>
      <w:r w:rsidRPr="00DA1D22">
        <w:rPr>
          <w:color w:val="000000"/>
          <w:lang w:eastAsia="en-US"/>
        </w:rPr>
        <w:t>:</w:t>
      </w:r>
    </w:p>
    <w:p w:rsidR="00D363BB" w:rsidRDefault="00D363BB" w:rsidP="00184286">
      <w:pPr>
        <w:pStyle w:val="ListParagraph"/>
        <w:numPr>
          <w:ilvl w:val="0"/>
          <w:numId w:val="44"/>
        </w:numPr>
        <w:bidi w:val="0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It reinforces the tri-axial relationship that is at the root of the System of Health Accounts and its description of healthcare and long-term care </w:t>
      </w:r>
      <w:r w:rsidR="00E264F5" w:rsidRPr="00865D69">
        <w:rPr>
          <w:color w:val="000000"/>
          <w:lang w:eastAsia="en-US"/>
        </w:rPr>
        <w:t>expenditure – that is, what is consumed has been provided and financed.</w:t>
      </w:r>
    </w:p>
    <w:p w:rsidR="00D363BB" w:rsidRDefault="00D363BB" w:rsidP="00D363BB">
      <w:pPr>
        <w:pStyle w:val="ListParagraph"/>
        <w:numPr>
          <w:ilvl w:val="0"/>
          <w:numId w:val="44"/>
        </w:numPr>
        <w:bidi w:val="0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SHA 2011 offers more complete coverage within the functional classification in areas such as </w:t>
      </w:r>
      <w:r>
        <w:rPr>
          <w:color w:val="000000"/>
          <w:lang w:eastAsia="en-US"/>
        </w:rPr>
        <w:t>prevention and long-term care.</w:t>
      </w:r>
    </w:p>
    <w:p w:rsidR="00D363BB" w:rsidRPr="00D363BB" w:rsidRDefault="00D363BB" w:rsidP="00D363BB">
      <w:pPr>
        <w:pStyle w:val="ListParagraph"/>
        <w:numPr>
          <w:ilvl w:val="0"/>
          <w:numId w:val="44"/>
        </w:numPr>
        <w:bidi w:val="0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>More precise approach for tracking financing in the healthcare sector using the new classification of financing schemes</w:t>
      </w:r>
      <w:r>
        <w:rPr>
          <w:color w:val="000000"/>
          <w:lang w:eastAsia="en-US"/>
        </w:rPr>
        <w:t>.</w:t>
      </w:r>
    </w:p>
    <w:p w:rsidR="00D07F59" w:rsidRDefault="00D07F59" w:rsidP="00D07F59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381C63">
        <w:rPr>
          <w:color w:val="000000"/>
          <w:lang w:eastAsia="en-US"/>
        </w:rPr>
        <w:t xml:space="preserve">Data of government health expenditure </w:t>
      </w:r>
      <w:r>
        <w:rPr>
          <w:color w:val="000000"/>
          <w:lang w:eastAsia="en-US"/>
        </w:rPr>
        <w:t>were derived from</w:t>
      </w:r>
      <w:r>
        <w:rPr>
          <w:color w:val="000000"/>
        </w:rPr>
        <w:t xml:space="preserve"> the total expenditure on salaries and wages, operating expenses and capital expenditures. </w:t>
      </w:r>
    </w:p>
    <w:p w:rsidR="00D07F59" w:rsidRPr="00074813" w:rsidRDefault="00D07F59" w:rsidP="00184286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Government transactions (salaries and wages, o</w:t>
      </w:r>
      <w:r w:rsidRPr="004D48C1">
        <w:rPr>
          <w:color w:val="000000"/>
          <w:lang w:eastAsia="en-US"/>
        </w:rPr>
        <w:t>perational expenses</w:t>
      </w:r>
      <w:r>
        <w:rPr>
          <w:color w:val="000000"/>
          <w:lang w:eastAsia="en-US"/>
        </w:rPr>
        <w:t>, c</w:t>
      </w:r>
      <w:r w:rsidRPr="004D48C1">
        <w:rPr>
          <w:color w:val="000000"/>
          <w:lang w:eastAsia="en-US"/>
        </w:rPr>
        <w:t>apital expenses</w:t>
      </w:r>
      <w:r>
        <w:rPr>
          <w:color w:val="000000"/>
          <w:lang w:eastAsia="en-US"/>
        </w:rPr>
        <w:t>,</w:t>
      </w:r>
      <w:r w:rsidRPr="004D48C1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and treatment abroad) computed in </w:t>
      </w:r>
      <w:r w:rsidR="00184286">
        <w:rPr>
          <w:color w:val="000000"/>
          <w:lang w:eastAsia="en-US"/>
        </w:rPr>
        <w:t xml:space="preserve">New </w:t>
      </w:r>
      <w:r>
        <w:rPr>
          <w:color w:val="000000"/>
        </w:rPr>
        <w:t>Israeli Shekel (NIS)</w:t>
      </w:r>
      <w:r>
        <w:rPr>
          <w:color w:val="000000"/>
          <w:lang w:eastAsia="en-US"/>
        </w:rPr>
        <w:t xml:space="preserve"> </w:t>
      </w:r>
      <w:r w:rsidR="00184286">
        <w:rPr>
          <w:color w:val="000000"/>
          <w:lang w:eastAsia="en-US"/>
        </w:rPr>
        <w:t xml:space="preserve">while </w:t>
      </w:r>
      <w:r>
        <w:rPr>
          <w:color w:val="000000"/>
          <w:lang w:eastAsia="en-US"/>
        </w:rPr>
        <w:t xml:space="preserve">the data </w:t>
      </w:r>
      <w:r w:rsidR="006A3B50">
        <w:rPr>
          <w:color w:val="000000"/>
          <w:lang w:eastAsia="en-US"/>
        </w:rPr>
        <w:t xml:space="preserve">processed to be </w:t>
      </w:r>
      <w:r>
        <w:rPr>
          <w:color w:val="000000"/>
          <w:lang w:eastAsia="en-US"/>
        </w:rPr>
        <w:t xml:space="preserve">published </w:t>
      </w:r>
      <w:r w:rsidR="00184286">
        <w:rPr>
          <w:color w:val="000000"/>
          <w:lang w:eastAsia="en-US"/>
        </w:rPr>
        <w:t xml:space="preserve">was </w:t>
      </w:r>
      <w:r>
        <w:rPr>
          <w:color w:val="000000"/>
          <w:lang w:eastAsia="en-US"/>
        </w:rPr>
        <w:t>in US Dollar</w:t>
      </w:r>
      <w:r>
        <w:rPr>
          <w:color w:val="000000"/>
        </w:rPr>
        <w:t>. The following</w:t>
      </w:r>
      <w:r w:rsidRPr="00074813">
        <w:rPr>
          <w:color w:val="000000"/>
        </w:rPr>
        <w:t xml:space="preserve"> table </w:t>
      </w:r>
      <w:r>
        <w:rPr>
          <w:color w:val="000000"/>
        </w:rPr>
        <w:t xml:space="preserve"> presents USD-NIS exchange rate evolution over the period </w:t>
      </w:r>
      <w:r w:rsidR="001E4F74">
        <w:rPr>
          <w:color w:val="000000"/>
        </w:rPr>
        <w:t>2014</w:t>
      </w:r>
      <w:r>
        <w:rPr>
          <w:color w:val="000000"/>
        </w:rPr>
        <w:t>-201</w:t>
      </w:r>
      <w:r w:rsidR="001E4F74">
        <w:rPr>
          <w:color w:val="000000"/>
        </w:rPr>
        <w:t>5</w:t>
      </w:r>
      <w:r w:rsidRPr="00074813">
        <w:rPr>
          <w:color w:val="000000"/>
          <w:lang w:eastAsia="en-US"/>
        </w:rPr>
        <w:t>:</w:t>
      </w:r>
    </w:p>
    <w:p w:rsidR="00D07F59" w:rsidRDefault="00D07F59" w:rsidP="00D07F59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tbl>
      <w:tblPr>
        <w:bidiVisual/>
        <w:tblW w:w="4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0"/>
        <w:gridCol w:w="1581"/>
        <w:gridCol w:w="5331"/>
      </w:tblGrid>
      <w:tr w:rsidR="00D07F59" w:rsidTr="00650261">
        <w:trPr>
          <w:trHeight w:val="508"/>
          <w:jc w:val="center"/>
        </w:trPr>
        <w:tc>
          <w:tcPr>
            <w:tcW w:w="921" w:type="pct"/>
            <w:tcBorders>
              <w:right w:val="single" w:sz="4" w:space="0" w:color="auto"/>
              <w:tr2bl w:val="nil"/>
            </w:tcBorders>
            <w:vAlign w:val="center"/>
          </w:tcPr>
          <w:p w:rsidR="00D07F59" w:rsidRDefault="001E4F74" w:rsidP="006502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2015</w:t>
            </w:r>
          </w:p>
        </w:tc>
        <w:tc>
          <w:tcPr>
            <w:tcW w:w="933" w:type="pct"/>
            <w:tcBorders>
              <w:right w:val="single" w:sz="4" w:space="0" w:color="auto"/>
              <w:tr2bl w:val="nil"/>
            </w:tcBorders>
            <w:vAlign w:val="center"/>
          </w:tcPr>
          <w:p w:rsidR="00D07F59" w:rsidRDefault="001E4F74" w:rsidP="00650261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2014</w:t>
            </w:r>
          </w:p>
        </w:tc>
        <w:tc>
          <w:tcPr>
            <w:tcW w:w="3146" w:type="pct"/>
            <w:tcBorders>
              <w:tr2bl w:val="single" w:sz="4" w:space="0" w:color="auto"/>
            </w:tcBorders>
          </w:tcPr>
          <w:p w:rsidR="00D07F59" w:rsidRDefault="00D07F59" w:rsidP="00650261">
            <w:pPr>
              <w:bidi w:val="0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Indicator                                                                                 Year</w:t>
            </w: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E4F74" w:rsidTr="00650261">
        <w:trPr>
          <w:trHeight w:val="397"/>
          <w:jc w:val="center"/>
        </w:trPr>
        <w:tc>
          <w:tcPr>
            <w:tcW w:w="921" w:type="pct"/>
            <w:vAlign w:val="center"/>
          </w:tcPr>
          <w:p w:rsidR="001E4F74" w:rsidRPr="00560A3C" w:rsidRDefault="001E4F74" w:rsidP="003E7510">
            <w:pPr>
              <w:ind w:firstLine="228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3.886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933" w:type="pct"/>
            <w:vAlign w:val="center"/>
          </w:tcPr>
          <w:p w:rsidR="001E4F74" w:rsidRPr="00DB3DD5" w:rsidRDefault="001E4F74" w:rsidP="003E75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3.5769</w:t>
            </w:r>
          </w:p>
        </w:tc>
        <w:tc>
          <w:tcPr>
            <w:tcW w:w="3146" w:type="pct"/>
            <w:vAlign w:val="center"/>
          </w:tcPr>
          <w:p w:rsidR="001E4F74" w:rsidRPr="0057266A" w:rsidRDefault="001E4F74" w:rsidP="00650261">
            <w:pPr>
              <w:jc w:val="right"/>
              <w:rPr>
                <w:color w:val="000000"/>
                <w:sz w:val="18"/>
                <w:szCs w:val="18"/>
                <w:rtl/>
                <w:lang w:val="en-GB"/>
              </w:rPr>
            </w:pPr>
            <w:r w:rsidRPr="0057266A">
              <w:rPr>
                <w:color w:val="000000"/>
                <w:sz w:val="18"/>
                <w:szCs w:val="18"/>
              </w:rPr>
              <w:t xml:space="preserve"> Exchang</w:t>
            </w:r>
            <w:r>
              <w:rPr>
                <w:color w:val="000000"/>
                <w:sz w:val="18"/>
                <w:szCs w:val="18"/>
              </w:rPr>
              <w:t xml:space="preserve">e rate USD compared with NIS, </w:t>
            </w:r>
            <w:r w:rsidRPr="0057266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a</w:t>
            </w:r>
            <w:r w:rsidRPr="0057266A">
              <w:rPr>
                <w:color w:val="000000"/>
                <w:sz w:val="18"/>
                <w:szCs w:val="18"/>
              </w:rPr>
              <w:t>nnual average</w:t>
            </w:r>
          </w:p>
        </w:tc>
      </w:tr>
    </w:tbl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6A3B50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</w:rPr>
      </w:pPr>
      <w:r>
        <w:rPr>
          <w:color w:val="000000"/>
        </w:rPr>
        <w:t xml:space="preserve">(-): Data </w:t>
      </w:r>
      <w:r w:rsidR="006A3B50">
        <w:rPr>
          <w:color w:val="000000"/>
        </w:rPr>
        <w:t xml:space="preserve">is </w:t>
      </w:r>
      <w:r>
        <w:rPr>
          <w:color w:val="000000"/>
        </w:rPr>
        <w:t xml:space="preserve">unavailable from sources and </w:t>
      </w:r>
      <w:r w:rsidR="006A3B50">
        <w:rPr>
          <w:color w:val="000000"/>
        </w:rPr>
        <w:t>the value</w:t>
      </w:r>
      <w:r>
        <w:rPr>
          <w:color w:val="000000"/>
        </w:rPr>
        <w:t xml:space="preserve"> cannot</w:t>
      </w:r>
      <w:r w:rsidR="006A3B50">
        <w:rPr>
          <w:color w:val="000000"/>
        </w:rPr>
        <w:t xml:space="preserve"> be</w:t>
      </w:r>
      <w:r>
        <w:rPr>
          <w:color w:val="000000"/>
        </w:rPr>
        <w:t xml:space="preserve"> determine</w:t>
      </w:r>
      <w:r w:rsidR="006A3B50">
        <w:rPr>
          <w:color w:val="000000"/>
        </w:rPr>
        <w:t>d</w:t>
      </w:r>
      <w:r>
        <w:rPr>
          <w:color w:val="000000"/>
        </w:rPr>
        <w:t xml:space="preserve"> if it equal</w:t>
      </w:r>
      <w:r w:rsidR="006A3B50">
        <w:rPr>
          <w:color w:val="000000"/>
        </w:rPr>
        <w:t>s</w:t>
      </w:r>
      <w:r>
        <w:rPr>
          <w:color w:val="000000"/>
        </w:rPr>
        <w:t xml:space="preserve"> zero or not </w:t>
      </w:r>
      <w:r w:rsidR="006A3B50">
        <w:rPr>
          <w:color w:val="000000"/>
        </w:rPr>
        <w:t>available</w:t>
      </w:r>
      <w:r>
        <w:rPr>
          <w:color w:val="000000"/>
        </w:rPr>
        <w:t>.</w:t>
      </w: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9167BC" w:rsidRDefault="009167BC" w:rsidP="00D07F59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E3360B">
      <w:pPr>
        <w:bidi w:val="0"/>
        <w:ind w:right="-2"/>
        <w:jc w:val="center"/>
        <w:rPr>
          <w:b/>
          <w:bCs/>
          <w:color w:val="000000"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74"/>
        <w:gridCol w:w="6269"/>
        <w:gridCol w:w="1029"/>
      </w:tblGrid>
      <w:tr w:rsidR="009167BC" w:rsidTr="00E3360B">
        <w:trPr>
          <w:trHeight w:val="340"/>
          <w:tblHeader/>
          <w:jc w:val="center"/>
        </w:trPr>
        <w:tc>
          <w:tcPr>
            <w:tcW w:w="8043" w:type="dxa"/>
            <w:gridSpan w:val="2"/>
            <w:vAlign w:val="center"/>
          </w:tcPr>
          <w:p w:rsidR="009167BC" w:rsidRDefault="009167BC" w:rsidP="000A2CA3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  <w:p w:rsidR="009167BC" w:rsidRDefault="009167BC" w:rsidP="000A2CA3">
            <w:pPr>
              <w:jc w:val="right"/>
              <w:rPr>
                <w:color w:val="000000"/>
                <w:sz w:val="16"/>
                <w:szCs w:val="16"/>
                <w:rtl/>
                <w:lang w:val="en-GB"/>
              </w:rPr>
            </w:pPr>
          </w:p>
        </w:tc>
        <w:tc>
          <w:tcPr>
            <w:tcW w:w="1029" w:type="dxa"/>
            <w:vAlign w:val="center"/>
          </w:tcPr>
          <w:p w:rsidR="009167BC" w:rsidRDefault="009167BC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9167B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29" w:type="dxa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RPr="0039328D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Pr="0039328D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Pr="00AE09B9" w:rsidRDefault="009167BC" w:rsidP="000A2CA3">
            <w:pPr>
              <w:bidi w:val="0"/>
            </w:pPr>
            <w:r w:rsidRPr="00AE09B9">
              <w:t>Introduction</w:t>
            </w: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E3360B">
        <w:trPr>
          <w:trHeight w:val="259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jc w:val="center"/>
              <w:rPr>
                <w:color w:val="000000"/>
              </w:rPr>
            </w:pP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269" w:type="dxa"/>
            <w:vAlign w:val="center"/>
          </w:tcPr>
          <w:p w:rsidR="002720EC" w:rsidRDefault="002720EC" w:rsidP="002720E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Terms, Indicators and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7C519F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E3360B">
            <w:pPr>
              <w:bidi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1.1</w:t>
            </w:r>
            <w:r w:rsidR="00E3360B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Terms and Indicators 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B363E9" w:rsidRDefault="002720EC" w:rsidP="00E3360B">
            <w:pPr>
              <w:bidi w:val="0"/>
              <w:ind w:left="387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1.</w:t>
            </w:r>
            <w:r w:rsidRPr="00B363E9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.1</w:t>
            </w:r>
            <w:r w:rsidR="00E3360B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363E9">
              <w:rPr>
                <w:rFonts w:asciiTheme="majorBidi" w:hAnsiTheme="majorBidi" w:cstheme="majorBidi"/>
                <w:color w:val="000000"/>
              </w:rPr>
              <w:t>General Concepts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color w:val="000000"/>
              </w:rPr>
              <w:t>15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4C0AD2" w:rsidRDefault="002720EC" w:rsidP="00E3360B">
            <w:pPr>
              <w:pStyle w:val="NormalWeb"/>
              <w:spacing w:before="0" w:beforeAutospacing="0" w:after="0" w:afterAutospacing="0"/>
              <w:ind w:left="38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  <w:r w:rsidR="00E336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Classification of Financing Schemes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rFonts w:hint="cs"/>
                <w:color w:val="000000"/>
                <w:rtl/>
              </w:rPr>
              <w:t>17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4C0AD2" w:rsidRDefault="002720EC" w:rsidP="00E3360B">
            <w:pPr>
              <w:autoSpaceDE w:val="0"/>
              <w:autoSpaceDN w:val="0"/>
              <w:bidi w:val="0"/>
              <w:adjustRightInd w:val="0"/>
              <w:ind w:left="387"/>
              <w:jc w:val="both"/>
              <w:rPr>
                <w:rFonts w:eastAsia="Arial Unicode MS"/>
                <w:color w:val="000000" w:themeColor="text1"/>
              </w:rPr>
            </w:pPr>
            <w:r>
              <w:rPr>
                <w:rFonts w:eastAsia="Arial Unicode MS"/>
                <w:color w:val="000000" w:themeColor="text1"/>
              </w:rPr>
              <w:t>1.1</w:t>
            </w:r>
            <w:r w:rsidRPr="004C0AD2">
              <w:rPr>
                <w:rFonts w:eastAsia="Arial Unicode MS"/>
                <w:color w:val="000000" w:themeColor="text1"/>
              </w:rPr>
              <w:t xml:space="preserve">.3 </w:t>
            </w:r>
            <w:r w:rsidR="00E3360B">
              <w:rPr>
                <w:rFonts w:eastAsia="Arial Unicode MS"/>
                <w:color w:val="000000" w:themeColor="text1"/>
              </w:rPr>
              <w:t xml:space="preserve"> </w:t>
            </w:r>
            <w:r w:rsidRPr="004C0AD2">
              <w:rPr>
                <w:rFonts w:eastAsia="Arial Unicode MS"/>
                <w:color w:val="000000" w:themeColor="text1"/>
              </w:rPr>
              <w:t>Financing agents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color w:val="000000"/>
              </w:rPr>
              <w:t>17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4C0AD2" w:rsidRDefault="002720EC" w:rsidP="00E3360B">
            <w:pPr>
              <w:pStyle w:val="NormalWeb"/>
              <w:spacing w:before="0" w:beforeAutospacing="0" w:after="0" w:afterAutospacing="0"/>
              <w:ind w:left="38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 xml:space="preserve">.4 </w:t>
            </w:r>
            <w:r w:rsidR="00E336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Revenues of health</w:t>
            </w:r>
            <w:r w:rsidR="004445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care financing schemes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color w:val="000000"/>
              </w:rPr>
              <w:t>18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4C0AD2" w:rsidRDefault="002720EC" w:rsidP="00F5179F">
            <w:pPr>
              <w:pStyle w:val="NormalWeb"/>
              <w:spacing w:before="0" w:beforeAutospacing="0" w:after="0" w:afterAutospacing="0"/>
              <w:ind w:left="38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r w:rsidR="00E336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Classification of Health</w:t>
            </w:r>
            <w:r w:rsidR="004445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5179F">
              <w:rPr>
                <w:rFonts w:ascii="Times New Roman" w:hAnsi="Times New Roman" w:cs="Times New Roman"/>
                <w:color w:val="000000" w:themeColor="text1"/>
              </w:rPr>
              <w:t>c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are</w:t>
            </w:r>
            <w:r w:rsidR="00F5179F">
              <w:rPr>
                <w:rFonts w:ascii="Times New Roman" w:hAnsi="Times New Roman" w:cs="Times New Roman"/>
                <w:color w:val="000000" w:themeColor="text1"/>
              </w:rPr>
              <w:t>'s</w:t>
            </w:r>
            <w:r w:rsidR="00F5179F" w:rsidRPr="004C0AD2">
              <w:rPr>
                <w:rFonts w:ascii="Times New Roman" w:hAnsi="Times New Roman" w:cs="Times New Roman"/>
                <w:color w:val="000000" w:themeColor="text1"/>
              </w:rPr>
              <w:t xml:space="preserve"> Functions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color w:val="000000"/>
              </w:rPr>
              <w:t>19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4C0AD2" w:rsidRDefault="002720EC" w:rsidP="00E3360B">
            <w:pPr>
              <w:pStyle w:val="NormalWeb"/>
              <w:spacing w:before="0" w:beforeAutospacing="0" w:after="0" w:afterAutospacing="0"/>
              <w:ind w:left="38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 xml:space="preserve">.6 </w:t>
            </w:r>
            <w:r w:rsidR="00E3360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0AD2">
              <w:rPr>
                <w:rFonts w:ascii="Times New Roman" w:hAnsi="Times New Roman" w:cs="Times New Roman"/>
                <w:color w:val="000000" w:themeColor="text1"/>
              </w:rPr>
              <w:t>Classification of Health Care Providers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0BD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color w:val="000000"/>
              </w:rPr>
              <w:t>20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RPr="00716D37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B91A3B" w:rsidRDefault="002720EC" w:rsidP="00E336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91A3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1.2</w:t>
            </w:r>
            <w:r w:rsidR="00E3360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B91A3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B91A3B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rFonts w:hint="cs"/>
                <w:b/>
                <w:bCs/>
                <w:color w:val="000000"/>
                <w:rtl/>
              </w:rPr>
              <w:t>23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RPr="00716D37" w:rsidTr="00E3360B">
        <w:trPr>
          <w:trHeight w:val="251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jc w:val="center"/>
              <w:rPr>
                <w:color w:val="000000"/>
              </w:rPr>
            </w:pP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411E49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E3360B">
        <w:trPr>
          <w:trHeight w:val="203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jc w:val="center"/>
              <w:rPr>
                <w:color w:val="000000"/>
              </w:rPr>
            </w:pP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F50002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269" w:type="dxa"/>
            <w:vAlign w:val="center"/>
          </w:tcPr>
          <w:p w:rsidR="002720EC" w:rsidRDefault="002720EC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F50002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2</w:t>
            </w:r>
            <w:r>
              <w:rPr>
                <w:b/>
                <w:bCs/>
                <w:color w:val="000000"/>
              </w:rPr>
              <w:t>9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 xml:space="preserve">3.1: </w:t>
            </w:r>
            <w:r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rFonts w:hint="cs"/>
                <w:color w:val="000000"/>
                <w:rtl/>
              </w:rPr>
              <w:t>29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Pr="0042780B" w:rsidRDefault="002720EC" w:rsidP="0020175C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3.2:  </w:t>
            </w:r>
            <w:r w:rsidRPr="00045C47">
              <w:rPr>
                <w:rFonts w:asciiTheme="majorBidi" w:hAnsiTheme="majorBidi" w:cstheme="majorBidi"/>
                <w:color w:val="000000"/>
                <w:lang w:eastAsia="en-GB"/>
              </w:rPr>
              <w:t>M</w:t>
            </w:r>
            <w:r>
              <w:rPr>
                <w:rFonts w:asciiTheme="majorBidi" w:hAnsiTheme="majorBidi" w:cstheme="majorBidi"/>
                <w:color w:val="000000"/>
                <w:lang w:eastAsia="en-GB"/>
              </w:rPr>
              <w:t>ethodology of Palestinian</w:t>
            </w:r>
            <w:r w:rsidRPr="00045C47">
              <w:rPr>
                <w:rFonts w:asciiTheme="majorBidi" w:hAnsiTheme="majorBidi" w:cstheme="majorBidi"/>
                <w:color w:val="000000"/>
                <w:lang w:eastAsia="en-GB"/>
              </w:rPr>
              <w:t xml:space="preserve"> Health Accounts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B175E4">
              <w:rPr>
                <w:color w:val="000000"/>
              </w:rPr>
              <w:t>[</w:t>
            </w:r>
            <w:r>
              <w:rPr>
                <w:rFonts w:hint="cs"/>
                <w:color w:val="000000"/>
                <w:rtl/>
              </w:rPr>
              <w:t>29</w:t>
            </w:r>
            <w:r w:rsidRPr="00B175E4">
              <w:rPr>
                <w:color w:val="000000"/>
              </w:rPr>
              <w:t>]</w:t>
            </w:r>
          </w:p>
        </w:tc>
      </w:tr>
      <w:tr w:rsidR="002720EC" w:rsidTr="00E3360B">
        <w:trPr>
          <w:trHeight w:val="179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jc w:val="center"/>
              <w:rPr>
                <w:color w:val="000000"/>
              </w:rPr>
            </w:pP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5A41EE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Four:</w:t>
            </w:r>
          </w:p>
        </w:tc>
        <w:tc>
          <w:tcPr>
            <w:tcW w:w="6269" w:type="dxa"/>
            <w:vAlign w:val="center"/>
          </w:tcPr>
          <w:p w:rsidR="002720EC" w:rsidRDefault="002720EC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Quality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411E49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33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E3360B">
        <w:trPr>
          <w:trHeight w:val="118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ind w:left="-65" w:right="-62"/>
              <w:jc w:val="center"/>
              <w:rPr>
                <w:color w:val="000000"/>
              </w:rPr>
            </w:pPr>
          </w:p>
        </w:tc>
      </w:tr>
      <w:tr w:rsidR="002720E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bCs/>
              </w:rPr>
              <w:t xml:space="preserve">Statistical </w:t>
            </w:r>
            <w:r w:rsidRPr="00C522DC">
              <w:rPr>
                <w:b/>
                <w:bCs/>
              </w:rPr>
              <w:t>Tables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9167BC" w:rsidRDefault="009167BC" w:rsidP="009167B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9167BC" w:rsidTr="000A2CA3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  <w:bookmarkStart w:id="1" w:name="_GoBack"/>
      <w:r>
        <w:rPr>
          <w:b/>
          <w:bCs/>
          <w:color w:val="000000"/>
          <w:szCs w:val="28"/>
        </w:rPr>
        <w:br w:type="page"/>
      </w:r>
      <w:bookmarkEnd w:id="1"/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299" w:type="dxa"/>
        <w:jc w:val="center"/>
        <w:tblLayout w:type="fixed"/>
        <w:tblLook w:val="0000"/>
      </w:tblPr>
      <w:tblGrid>
        <w:gridCol w:w="1266"/>
        <w:gridCol w:w="7310"/>
        <w:gridCol w:w="723"/>
      </w:tblGrid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1:</w:t>
            </w:r>
          </w:p>
        </w:tc>
        <w:tc>
          <w:tcPr>
            <w:tcW w:w="7310" w:type="dxa"/>
          </w:tcPr>
          <w:p w:rsidR="009167BC" w:rsidRDefault="009167BC" w:rsidP="00733F67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2A6EC2">
              <w:rPr>
                <w:b w:val="0"/>
                <w:bCs w:val="0"/>
                <w:sz w:val="24"/>
                <w:szCs w:val="24"/>
              </w:rPr>
              <w:t>Selected indicators in Palestin</w:t>
            </w:r>
            <w:r>
              <w:rPr>
                <w:b w:val="0"/>
                <w:bCs w:val="0"/>
                <w:sz w:val="24"/>
                <w:szCs w:val="24"/>
              </w:rPr>
              <w:t>e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for</w:t>
            </w:r>
            <w:r>
              <w:rPr>
                <w:b w:val="0"/>
                <w:bCs w:val="0"/>
                <w:sz w:val="24"/>
                <w:szCs w:val="24"/>
              </w:rPr>
              <w:t xml:space="preserve"> the years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33F67">
              <w:rPr>
                <w:b w:val="0"/>
                <w:bCs w:val="0"/>
                <w:sz w:val="24"/>
                <w:szCs w:val="24"/>
              </w:rPr>
              <w:t>2014</w:t>
            </w:r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34765A">
              <w:rPr>
                <w:rFonts w:hint="cs"/>
                <w:b w:val="0"/>
                <w:bCs w:val="0"/>
                <w:sz w:val="24"/>
                <w:szCs w:val="24"/>
                <w:rtl/>
              </w:rPr>
              <w:t>201</w:t>
            </w:r>
            <w:r w:rsidR="00733F67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723" w:type="dxa"/>
          </w:tcPr>
          <w:p w:rsidR="009167BC" w:rsidRDefault="00741850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0A2CA3">
            <w:pPr>
              <w:bidi w:val="0"/>
              <w:jc w:val="both"/>
              <w:rPr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  <w:lang w:val="en-GB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7310" w:type="dxa"/>
          </w:tcPr>
          <w:p w:rsidR="009167BC" w:rsidRDefault="00912103" w:rsidP="00F5179F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912103">
              <w:rPr>
                <w:b w:val="0"/>
                <w:bCs w:val="0"/>
                <w:sz w:val="24"/>
                <w:szCs w:val="24"/>
              </w:rPr>
              <w:t xml:space="preserve">Percentage of </w:t>
            </w:r>
            <w:r w:rsidR="007C64DF" w:rsidRPr="007C64DF">
              <w:rPr>
                <w:b w:val="0"/>
                <w:bCs w:val="0"/>
                <w:sz w:val="24"/>
                <w:szCs w:val="24"/>
              </w:rPr>
              <w:t>current expenditure</w:t>
            </w:r>
            <w:r>
              <w:rPr>
                <w:b w:val="0"/>
                <w:bCs w:val="0"/>
                <w:sz w:val="24"/>
                <w:szCs w:val="24"/>
              </w:rPr>
              <w:t xml:space="preserve"> on health in Palestine</w:t>
            </w:r>
            <w:r w:rsidR="00F5179F">
              <w:rPr>
                <w:b w:val="0"/>
                <w:bCs w:val="0"/>
                <w:sz w:val="24"/>
                <w:szCs w:val="24"/>
              </w:rPr>
              <w:t xml:space="preserve"> distributed</w:t>
            </w:r>
            <w:r w:rsidRPr="00912103">
              <w:rPr>
                <w:b w:val="0"/>
                <w:bCs w:val="0"/>
                <w:sz w:val="24"/>
                <w:szCs w:val="24"/>
              </w:rPr>
              <w:t xml:space="preserve"> by financing schemes for the years 2014, 2015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7310" w:type="dxa"/>
          </w:tcPr>
          <w:p w:rsidR="009167BC" w:rsidRDefault="00912103" w:rsidP="00F5179F">
            <w:pPr>
              <w:bidi w:val="0"/>
              <w:jc w:val="both"/>
            </w:pPr>
            <w:r w:rsidRPr="00912103">
              <w:rPr>
                <w:lang w:eastAsia="en-US"/>
              </w:rPr>
              <w:t>Percentage of current exp</w:t>
            </w:r>
            <w:r>
              <w:rPr>
                <w:lang w:eastAsia="en-US"/>
              </w:rPr>
              <w:t xml:space="preserve">enditure on health in </w:t>
            </w:r>
            <w:r w:rsidR="00F5179F">
              <w:rPr>
                <w:lang w:eastAsia="en-US"/>
              </w:rPr>
              <w:t xml:space="preserve">Palestine distributed </w:t>
            </w:r>
            <w:r w:rsidRPr="00912103">
              <w:rPr>
                <w:lang w:eastAsia="en-US"/>
              </w:rPr>
              <w:t>by financing agents for the years 2014, 2015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4:</w:t>
            </w:r>
          </w:p>
        </w:tc>
        <w:tc>
          <w:tcPr>
            <w:tcW w:w="7310" w:type="dxa"/>
          </w:tcPr>
          <w:p w:rsidR="009167BC" w:rsidRDefault="00912103" w:rsidP="0034765A">
            <w:pPr>
              <w:bidi w:val="0"/>
              <w:jc w:val="both"/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financing agents for the years 2014, 2015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7310" w:type="dxa"/>
          </w:tcPr>
          <w:p w:rsidR="009167BC" w:rsidRDefault="00912103" w:rsidP="00F5179F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revenues of health care financing s</w:t>
            </w:r>
            <w:r w:rsidR="009C194A">
              <w:rPr>
                <w:lang w:eastAsia="en-US"/>
              </w:rPr>
              <w:t>c</w:t>
            </w:r>
            <w:r w:rsidRPr="00912103">
              <w:rPr>
                <w:lang w:eastAsia="en-US"/>
              </w:rPr>
              <w:t>hemes for the years 2014, 2015</w:t>
            </w:r>
          </w:p>
        </w:tc>
        <w:tc>
          <w:tcPr>
            <w:tcW w:w="723" w:type="dxa"/>
          </w:tcPr>
          <w:p w:rsidR="009167BC" w:rsidRPr="00DA5262" w:rsidRDefault="00741850" w:rsidP="000A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7310" w:type="dxa"/>
          </w:tcPr>
          <w:p w:rsidR="009167BC" w:rsidRDefault="00912103" w:rsidP="0034765A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Expe</w:t>
            </w:r>
            <w:r>
              <w:rPr>
                <w:lang w:eastAsia="en-US"/>
              </w:rPr>
              <w:t xml:space="preserve">nditure on health in Palestine </w:t>
            </w:r>
            <w:r w:rsidRPr="00912103">
              <w:rPr>
                <w:lang w:eastAsia="en-US"/>
              </w:rPr>
              <w:t>by financing schemes and health care providers of  for the years 2014, 2015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7310" w:type="dxa"/>
          </w:tcPr>
          <w:p w:rsidR="009167BC" w:rsidRDefault="00912103" w:rsidP="0034765A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function of care for the years 2014, 2015</w:t>
            </w:r>
          </w:p>
        </w:tc>
        <w:tc>
          <w:tcPr>
            <w:tcW w:w="723" w:type="dxa"/>
          </w:tcPr>
          <w:p w:rsidR="009167BC" w:rsidRDefault="009167B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Pr="00741850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912103" w:rsidRDefault="009167BC" w:rsidP="000A2CA3">
            <w:pPr>
              <w:bidi w:val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741850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741850" w:rsidTr="009C194A">
        <w:trPr>
          <w:trHeight w:val="637"/>
          <w:jc w:val="center"/>
        </w:trPr>
        <w:tc>
          <w:tcPr>
            <w:tcW w:w="1266" w:type="dxa"/>
          </w:tcPr>
          <w:p w:rsidR="00741850" w:rsidRDefault="00741850" w:rsidP="00741850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7310" w:type="dxa"/>
          </w:tcPr>
          <w:p w:rsidR="00741850" w:rsidRPr="00912103" w:rsidRDefault="00912103" w:rsidP="000A2CA3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color w:val="000000"/>
              </w:rPr>
              <w:t>Current exp</w:t>
            </w:r>
            <w:r>
              <w:rPr>
                <w:color w:val="000000"/>
              </w:rPr>
              <w:t>enditure on health in Palestine</w:t>
            </w:r>
            <w:r w:rsidRPr="00912103">
              <w:rPr>
                <w:color w:val="000000"/>
              </w:rPr>
              <w:t xml:space="preserve"> by provider of health and function of care for the years 2014, 2015</w:t>
            </w:r>
          </w:p>
        </w:tc>
        <w:tc>
          <w:tcPr>
            <w:tcW w:w="723" w:type="dxa"/>
          </w:tcPr>
          <w:p w:rsidR="00741850" w:rsidRPr="00741850" w:rsidRDefault="00C569E5" w:rsidP="000A2CA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46</w:t>
            </w:r>
          </w:p>
        </w:tc>
      </w:tr>
      <w:tr w:rsidR="00741850" w:rsidTr="009C194A">
        <w:trPr>
          <w:trHeight w:val="20"/>
          <w:jc w:val="center"/>
        </w:trPr>
        <w:tc>
          <w:tcPr>
            <w:tcW w:w="1266" w:type="dxa"/>
          </w:tcPr>
          <w:p w:rsidR="00741850" w:rsidRDefault="00741850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741850" w:rsidRDefault="00741850" w:rsidP="000A2CA3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3" w:type="dxa"/>
          </w:tcPr>
          <w:p w:rsidR="00741850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2B0B90" w:rsidRDefault="002B0B90" w:rsidP="002B0B90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Introduction</w:t>
      </w:r>
    </w:p>
    <w:p w:rsidR="002B0B90" w:rsidRDefault="002B0B90" w:rsidP="002B0B90">
      <w:pPr>
        <w:bidi w:val="0"/>
        <w:jc w:val="center"/>
        <w:rPr>
          <w:color w:val="000000"/>
          <w:sz w:val="28"/>
          <w:szCs w:val="33"/>
        </w:rPr>
      </w:pPr>
    </w:p>
    <w:p w:rsidR="002B0B90" w:rsidRDefault="002B0B90" w:rsidP="002B0B90">
      <w:pPr>
        <w:bidi w:val="0"/>
        <w:jc w:val="both"/>
      </w:pPr>
      <w:r>
        <w:t xml:space="preserve">As the primary provider of official statistics for Palestine, </w:t>
      </w:r>
      <w:r w:rsidR="00F5179F">
        <w:t>the Palestinian Central Bureau of Statistics (</w:t>
      </w:r>
      <w:r>
        <w:t>PCBS</w:t>
      </w:r>
      <w:r w:rsidR="00F5179F">
        <w:t>)</w:t>
      </w:r>
      <w:r>
        <w:t xml:space="preserve"> has strived to develop the Palestinian Health Accounts to provide accurate indicators on the status of health expenditures in Palestine to inform policy and decision making.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2B0B90">
      <w:pPr>
        <w:bidi w:val="0"/>
        <w:jc w:val="both"/>
        <w:rPr>
          <w:color w:val="000000"/>
        </w:rPr>
      </w:pPr>
      <w:r>
        <w:rPr>
          <w:color w:val="000000"/>
        </w:rPr>
        <w:t xml:space="preserve">The Palestinian health accounts are designed to provide a systematic statistical description of the health sector as a whole. The report also provides detailed statistics on transactions among the various components of the health sector as well as </w:t>
      </w:r>
      <w:r w:rsidRPr="00796B26">
        <w:rPr>
          <w:color w:val="000000"/>
        </w:rPr>
        <w:t xml:space="preserve">between the </w:t>
      </w:r>
      <w:r>
        <w:rPr>
          <w:color w:val="000000"/>
        </w:rPr>
        <w:t xml:space="preserve">national </w:t>
      </w:r>
      <w:r w:rsidRPr="00796B26">
        <w:rPr>
          <w:color w:val="000000"/>
        </w:rPr>
        <w:t>health sector and the rest of the world</w:t>
      </w:r>
      <w:r>
        <w:rPr>
          <w:color w:val="000000"/>
        </w:rPr>
        <w:t>.  In order to measure growth rates and economic trends in the performance of the health sector and its cycle over years,</w:t>
      </w:r>
      <w:r w:rsidDel="00796B26">
        <w:rPr>
          <w:color w:val="000000"/>
        </w:rPr>
        <w:t xml:space="preserve"> </w:t>
      </w:r>
      <w:r>
        <w:rPr>
          <w:color w:val="000000"/>
        </w:rPr>
        <w:t>it is necessary to develop a systematic time series and comprehensive framework for the compilation of national health accounts. This tool will facilitate comparisons over different years and consequently data analysis.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BC2217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PCBS, in the cooperation with Ministry of health has adopted </w:t>
      </w:r>
      <w:r w:rsidR="00BE42D2">
        <w:rPr>
          <w:color w:val="000000"/>
          <w:szCs w:val="28"/>
        </w:rPr>
        <w:t>the</w:t>
      </w:r>
      <w:r w:rsidR="00BE42D2">
        <w:rPr>
          <w:sz w:val="23"/>
          <w:szCs w:val="23"/>
        </w:rPr>
        <w:t xml:space="preserve"> </w:t>
      </w:r>
      <w:r w:rsidR="00BE42D2">
        <w:rPr>
          <w:color w:val="000000"/>
          <w:szCs w:val="28"/>
        </w:rPr>
        <w:t xml:space="preserve">System of Health Accounts, </w:t>
      </w:r>
      <w:r w:rsidR="002F030D">
        <w:rPr>
          <w:color w:val="000000"/>
          <w:szCs w:val="28"/>
        </w:rPr>
        <w:t xml:space="preserve">SHA </w:t>
      </w:r>
      <w:r w:rsidR="00BE42D2">
        <w:rPr>
          <w:color w:val="000000"/>
          <w:szCs w:val="28"/>
        </w:rPr>
        <w:t xml:space="preserve">2011 edition, </w:t>
      </w:r>
      <w:r>
        <w:rPr>
          <w:color w:val="000000"/>
          <w:szCs w:val="28"/>
        </w:rPr>
        <w:t>as the comprehensive framework for all health statistics</w:t>
      </w:r>
      <w:r w:rsidR="002F030D">
        <w:rPr>
          <w:color w:val="000000"/>
          <w:szCs w:val="28"/>
        </w:rPr>
        <w:t xml:space="preserve"> for 2014-2015</w:t>
      </w:r>
      <w:r>
        <w:rPr>
          <w:color w:val="000000"/>
          <w:szCs w:val="28"/>
        </w:rPr>
        <w:t>.</w:t>
      </w:r>
      <w:bookmarkEnd w:id="2"/>
      <w:r>
        <w:rPr>
          <w:color w:val="000000"/>
          <w:szCs w:val="28"/>
        </w:rPr>
        <w:t xml:space="preserve">  The compilation of time series data for national health accounts for 2000-</w:t>
      </w:r>
      <w:r w:rsidR="00BE42D2">
        <w:rPr>
          <w:color w:val="000000"/>
          <w:szCs w:val="28"/>
        </w:rPr>
        <w:t>2014 depend</w:t>
      </w:r>
      <w:r w:rsidR="00820C28">
        <w:rPr>
          <w:color w:val="000000"/>
          <w:szCs w:val="28"/>
        </w:rPr>
        <w:t>s</w:t>
      </w:r>
      <w:r w:rsidR="00BE42D2">
        <w:rPr>
          <w:color w:val="000000"/>
          <w:szCs w:val="28"/>
        </w:rPr>
        <w:t xml:space="preserve"> on</w:t>
      </w:r>
      <w:r w:rsidR="00BE42D2" w:rsidRPr="00BE42D2">
        <w:rPr>
          <w:color w:val="000000"/>
          <w:szCs w:val="28"/>
        </w:rPr>
        <w:t xml:space="preserve"> </w:t>
      </w:r>
      <w:r w:rsidR="00BE42D2">
        <w:rPr>
          <w:color w:val="000000"/>
          <w:szCs w:val="28"/>
        </w:rPr>
        <w:t xml:space="preserve">the System of Health Accounts, 2000 edition, which was issued by </w:t>
      </w:r>
      <w:r w:rsidR="00BE42D2">
        <w:rPr>
          <w:sz w:val="23"/>
          <w:szCs w:val="23"/>
        </w:rPr>
        <w:t xml:space="preserve">the </w:t>
      </w:r>
      <w:r w:rsidR="00BE42D2" w:rsidRPr="00865D69">
        <w:rPr>
          <w:sz w:val="23"/>
          <w:szCs w:val="23"/>
        </w:rPr>
        <w:t>Organization</w:t>
      </w:r>
      <w:r w:rsidR="00BE42D2" w:rsidRPr="00865D69">
        <w:rPr>
          <w:rFonts w:hint="cs"/>
          <w:sz w:val="23"/>
          <w:szCs w:val="23"/>
        </w:rPr>
        <w:t xml:space="preserve"> for Economic Co-operation</w:t>
      </w:r>
      <w:r w:rsidR="00BE42D2" w:rsidRPr="00865D69">
        <w:rPr>
          <w:color w:val="000000"/>
          <w:szCs w:val="28"/>
        </w:rPr>
        <w:t xml:space="preserve"> and it </w:t>
      </w:r>
      <w:r w:rsidR="00D61E6C" w:rsidRPr="00865D69">
        <w:rPr>
          <w:color w:val="000000"/>
          <w:szCs w:val="28"/>
        </w:rPr>
        <w:t>required</w:t>
      </w:r>
      <w:r>
        <w:rPr>
          <w:color w:val="000000"/>
          <w:szCs w:val="28"/>
        </w:rPr>
        <w:t xml:space="preserve"> revision of various methodologies and hypotheses to ensure relevancy within the Palestinian context. The team working on the Health Accounts Report demonstrated competence and commitment to developing a Palestinian health accounts system.  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D61E6C">
      <w:pPr>
        <w:bidi w:val="0"/>
        <w:jc w:val="both"/>
        <w:rPr>
          <w:color w:val="000000"/>
          <w:szCs w:val="28"/>
        </w:rPr>
      </w:pPr>
      <w:r>
        <w:rPr>
          <w:color w:val="000000"/>
        </w:rPr>
        <w:t xml:space="preserve">The main objective behind </w:t>
      </w:r>
      <w:r w:rsidR="00D61E6C">
        <w:rPr>
          <w:color w:val="000000"/>
        </w:rPr>
        <w:t>establishing</w:t>
      </w:r>
      <w:r>
        <w:rPr>
          <w:color w:val="000000"/>
        </w:rPr>
        <w:t xml:space="preserve"> the Palestinian health accounts is </w:t>
      </w:r>
      <w:r w:rsidR="00D61E6C">
        <w:rPr>
          <w:color w:val="000000"/>
        </w:rPr>
        <w:t>providing</w:t>
      </w:r>
      <w:r>
        <w:rPr>
          <w:color w:val="000000"/>
        </w:rPr>
        <w:t xml:space="preserve"> a database for health services </w:t>
      </w:r>
      <w:r w:rsidR="00D61E6C">
        <w:rPr>
          <w:color w:val="000000"/>
        </w:rPr>
        <w:t>providers’ expenditure in Palestine</w:t>
      </w:r>
      <w:r>
        <w:rPr>
          <w:color w:val="000000"/>
        </w:rPr>
        <w:t>.</w:t>
      </w:r>
    </w:p>
    <w:p w:rsidR="002B0B90" w:rsidRDefault="002B0B90" w:rsidP="002B0B9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 xml:space="preserve">This report presents the main indicators of Palestinian health accounts and </w:t>
      </w:r>
      <w:r>
        <w:rPr>
          <w:rFonts w:cs="Simplified Arabic"/>
          <w:color w:val="000000"/>
        </w:rPr>
        <w:t>PCBS hop</w:t>
      </w:r>
      <w:r w:rsidR="00865D69">
        <w:rPr>
          <w:rFonts w:cs="Simplified Arabic"/>
          <w:color w:val="000000"/>
        </w:rPr>
        <w:t>ing</w:t>
      </w:r>
      <w:r>
        <w:rPr>
          <w:rFonts w:cs="Simplified Arabic"/>
          <w:color w:val="000000"/>
        </w:rPr>
        <w:t xml:space="preserve"> it will empower planners and decision makers  in their effort to monitor and upgrade existing health services in Palestine </w:t>
      </w: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2B0B90" w:rsidTr="00650261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2B0B90" w:rsidP="00133632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February</w:t>
            </w:r>
            <w:r>
              <w:rPr>
                <w:b/>
                <w:bCs/>
                <w:color w:val="000000"/>
                <w:szCs w:val="28"/>
              </w:rPr>
              <w:t xml:space="preserve">, </w:t>
            </w:r>
            <w:r w:rsidR="00133632">
              <w:rPr>
                <w:b/>
                <w:bCs/>
                <w:color w:val="000000"/>
                <w:szCs w:val="28"/>
              </w:rPr>
              <w:t>2017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Ola Awad</w:t>
            </w:r>
          </w:p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2B0B90" w:rsidRDefault="002B0B90" w:rsidP="002B0B90">
      <w:pPr>
        <w:bidi w:val="0"/>
        <w:spacing w:after="200" w:line="276" w:lineRule="auto"/>
        <w:rPr>
          <w:color w:val="000000"/>
        </w:rPr>
      </w:pP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</w:p>
    <w:p w:rsidR="003F1784" w:rsidRPr="009167BC" w:rsidRDefault="003F1784" w:rsidP="009167BC"/>
    <w:sectPr w:rsidR="003F1784" w:rsidRPr="009167BC" w:rsidSect="00665426">
      <w:headerReference w:type="default" r:id="rId13"/>
      <w:footerReference w:type="default" r:id="rId14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0B8" w:rsidRDefault="00FB00B8">
      <w:pPr>
        <w:rPr>
          <w:rtl/>
        </w:rPr>
      </w:pPr>
      <w:r>
        <w:separator/>
      </w:r>
    </w:p>
  </w:endnote>
  <w:endnote w:type="continuationSeparator" w:id="0">
    <w:p w:rsidR="00FB00B8" w:rsidRDefault="00FB00B8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0B8" w:rsidRDefault="00FB00B8">
      <w:pPr>
        <w:rPr>
          <w:rtl/>
        </w:rPr>
      </w:pPr>
      <w:r>
        <w:separator/>
      </w:r>
    </w:p>
  </w:footnote>
  <w:footnote w:type="continuationSeparator" w:id="0">
    <w:p w:rsidR="00FB00B8" w:rsidRDefault="00FB00B8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Pr="002513C4" w:rsidRDefault="00E10482" w:rsidP="001752CD">
    <w:pPr>
      <w:pStyle w:val="Header"/>
      <w:bidi w:val="0"/>
      <w:rPr>
        <w:rFonts w:cs="Traditional Arabic"/>
        <w:noProof w:val="0"/>
        <w:sz w:val="16"/>
        <w:szCs w:val="16"/>
        <w:rtl/>
      </w:rPr>
    </w:pPr>
    <w:r w:rsidRPr="002513C4">
      <w:rPr>
        <w:rFonts w:cs="Traditional Arabic"/>
        <w:noProof w:val="0"/>
        <w:sz w:val="16"/>
        <w:szCs w:val="16"/>
      </w:rPr>
      <w:t xml:space="preserve">PCBS: Statistical Report, </w:t>
    </w:r>
    <w:r w:rsidR="00BF52E0">
      <w:rPr>
        <w:rFonts w:cs="Traditional Arabic"/>
        <w:noProof w:val="0"/>
        <w:sz w:val="16"/>
        <w:szCs w:val="16"/>
      </w:rPr>
      <w:t>Palestinian</w:t>
    </w:r>
    <w:r w:rsidRPr="002513C4">
      <w:rPr>
        <w:rFonts w:cs="Traditional Arabic"/>
        <w:noProof w:val="0"/>
        <w:sz w:val="16"/>
        <w:szCs w:val="16"/>
      </w:rPr>
      <w:t xml:space="preserve"> Health Accounts </w:t>
    </w:r>
    <w:r w:rsidR="001752CD">
      <w:rPr>
        <w:rFonts w:cs="Traditional Arabic"/>
        <w:noProof w:val="0"/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08A30429"/>
    <w:multiLevelType w:val="hybridMultilevel"/>
    <w:tmpl w:val="96CC97CA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D680EC2"/>
    <w:multiLevelType w:val="hybridMultilevel"/>
    <w:tmpl w:val="B952F036"/>
    <w:lvl w:ilvl="0" w:tplc="80163F3C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44F2C33"/>
    <w:multiLevelType w:val="hybridMultilevel"/>
    <w:tmpl w:val="DB24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9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2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3">
    <w:nsid w:val="576B695E"/>
    <w:multiLevelType w:val="hybridMultilevel"/>
    <w:tmpl w:val="3148DD3E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5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1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4"/>
  </w:num>
  <w:num w:numId="4">
    <w:abstractNumId w:val="25"/>
  </w:num>
  <w:num w:numId="5">
    <w:abstractNumId w:val="42"/>
  </w:num>
  <w:num w:numId="6">
    <w:abstractNumId w:val="13"/>
  </w:num>
  <w:num w:numId="7">
    <w:abstractNumId w:val="32"/>
  </w:num>
  <w:num w:numId="8">
    <w:abstractNumId w:val="15"/>
  </w:num>
  <w:num w:numId="9">
    <w:abstractNumId w:val="11"/>
  </w:num>
  <w:num w:numId="10">
    <w:abstractNumId w:val="26"/>
  </w:num>
  <w:num w:numId="11">
    <w:abstractNumId w:val="17"/>
  </w:num>
  <w:num w:numId="12">
    <w:abstractNumId w:val="21"/>
  </w:num>
  <w:num w:numId="13">
    <w:abstractNumId w:val="9"/>
  </w:num>
  <w:num w:numId="14">
    <w:abstractNumId w:val="29"/>
  </w:num>
  <w:num w:numId="15">
    <w:abstractNumId w:val="20"/>
  </w:num>
  <w:num w:numId="16">
    <w:abstractNumId w:val="22"/>
  </w:num>
  <w:num w:numId="17">
    <w:abstractNumId w:val="41"/>
  </w:num>
  <w:num w:numId="18">
    <w:abstractNumId w:val="0"/>
  </w:num>
  <w:num w:numId="19">
    <w:abstractNumId w:val="28"/>
  </w:num>
  <w:num w:numId="20">
    <w:abstractNumId w:val="34"/>
  </w:num>
  <w:num w:numId="21">
    <w:abstractNumId w:val="23"/>
  </w:num>
  <w:num w:numId="22">
    <w:abstractNumId w:val="16"/>
  </w:num>
  <w:num w:numId="23">
    <w:abstractNumId w:val="4"/>
  </w:num>
  <w:num w:numId="24">
    <w:abstractNumId w:val="27"/>
  </w:num>
  <w:num w:numId="25">
    <w:abstractNumId w:val="37"/>
  </w:num>
  <w:num w:numId="26">
    <w:abstractNumId w:val="38"/>
  </w:num>
  <w:num w:numId="27">
    <w:abstractNumId w:val="7"/>
  </w:num>
  <w:num w:numId="28">
    <w:abstractNumId w:val="3"/>
  </w:num>
  <w:num w:numId="29">
    <w:abstractNumId w:val="30"/>
  </w:num>
  <w:num w:numId="30">
    <w:abstractNumId w:val="40"/>
  </w:num>
  <w:num w:numId="31">
    <w:abstractNumId w:val="8"/>
  </w:num>
  <w:num w:numId="32">
    <w:abstractNumId w:val="31"/>
  </w:num>
  <w:num w:numId="33">
    <w:abstractNumId w:val="39"/>
  </w:num>
  <w:num w:numId="34">
    <w:abstractNumId w:val="18"/>
  </w:num>
  <w:num w:numId="35">
    <w:abstractNumId w:val="12"/>
  </w:num>
  <w:num w:numId="36">
    <w:abstractNumId w:val="35"/>
  </w:num>
  <w:num w:numId="37">
    <w:abstractNumId w:val="43"/>
  </w:num>
  <w:num w:numId="38">
    <w:abstractNumId w:val="14"/>
  </w:num>
  <w:num w:numId="39">
    <w:abstractNumId w:val="2"/>
  </w:num>
  <w:num w:numId="40">
    <w:abstractNumId w:val="36"/>
  </w:num>
  <w:num w:numId="41">
    <w:abstractNumId w:val="19"/>
  </w:num>
  <w:num w:numId="42">
    <w:abstractNumId w:val="6"/>
  </w:num>
  <w:num w:numId="43">
    <w:abstractNumId w:val="5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416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01B5"/>
    <w:rsid w:val="000108C2"/>
    <w:rsid w:val="00011746"/>
    <w:rsid w:val="0002431B"/>
    <w:rsid w:val="000344AE"/>
    <w:rsid w:val="000356F9"/>
    <w:rsid w:val="00040ABF"/>
    <w:rsid w:val="000412FA"/>
    <w:rsid w:val="000436F9"/>
    <w:rsid w:val="00045C47"/>
    <w:rsid w:val="000479F6"/>
    <w:rsid w:val="00047C52"/>
    <w:rsid w:val="00050007"/>
    <w:rsid w:val="000506D4"/>
    <w:rsid w:val="00062632"/>
    <w:rsid w:val="0006655D"/>
    <w:rsid w:val="00074813"/>
    <w:rsid w:val="00074E66"/>
    <w:rsid w:val="00080A0B"/>
    <w:rsid w:val="0008591A"/>
    <w:rsid w:val="00092352"/>
    <w:rsid w:val="000A08FD"/>
    <w:rsid w:val="000A5CA9"/>
    <w:rsid w:val="000B19D2"/>
    <w:rsid w:val="000B3ACA"/>
    <w:rsid w:val="000B524D"/>
    <w:rsid w:val="000C5F3A"/>
    <w:rsid w:val="000E3166"/>
    <w:rsid w:val="000E5F0A"/>
    <w:rsid w:val="000F0C3A"/>
    <w:rsid w:val="000F6A5C"/>
    <w:rsid w:val="00101C80"/>
    <w:rsid w:val="00106222"/>
    <w:rsid w:val="0011092D"/>
    <w:rsid w:val="00111872"/>
    <w:rsid w:val="001172C9"/>
    <w:rsid w:val="00121B49"/>
    <w:rsid w:val="0012593A"/>
    <w:rsid w:val="00133632"/>
    <w:rsid w:val="0014190C"/>
    <w:rsid w:val="00142B28"/>
    <w:rsid w:val="00162AFC"/>
    <w:rsid w:val="00163265"/>
    <w:rsid w:val="00164C44"/>
    <w:rsid w:val="001653F4"/>
    <w:rsid w:val="00166F78"/>
    <w:rsid w:val="0017372A"/>
    <w:rsid w:val="0017408C"/>
    <w:rsid w:val="001752CD"/>
    <w:rsid w:val="00176BB8"/>
    <w:rsid w:val="00177307"/>
    <w:rsid w:val="00184286"/>
    <w:rsid w:val="00186E06"/>
    <w:rsid w:val="0018745B"/>
    <w:rsid w:val="00187D06"/>
    <w:rsid w:val="0019464A"/>
    <w:rsid w:val="001A5213"/>
    <w:rsid w:val="001B174B"/>
    <w:rsid w:val="001B3625"/>
    <w:rsid w:val="001B5337"/>
    <w:rsid w:val="001C750E"/>
    <w:rsid w:val="001D1E04"/>
    <w:rsid w:val="001E4F74"/>
    <w:rsid w:val="001E5157"/>
    <w:rsid w:val="001F54C0"/>
    <w:rsid w:val="0020175C"/>
    <w:rsid w:val="00204A68"/>
    <w:rsid w:val="00223BD3"/>
    <w:rsid w:val="00230107"/>
    <w:rsid w:val="00241F24"/>
    <w:rsid w:val="002461BA"/>
    <w:rsid w:val="00247178"/>
    <w:rsid w:val="002513C4"/>
    <w:rsid w:val="00255CDC"/>
    <w:rsid w:val="002600EC"/>
    <w:rsid w:val="002720EC"/>
    <w:rsid w:val="0027634C"/>
    <w:rsid w:val="00276D02"/>
    <w:rsid w:val="00291DA6"/>
    <w:rsid w:val="0029435C"/>
    <w:rsid w:val="00295469"/>
    <w:rsid w:val="00295E42"/>
    <w:rsid w:val="002A07D0"/>
    <w:rsid w:val="002A6EC2"/>
    <w:rsid w:val="002B0B90"/>
    <w:rsid w:val="002B3DC1"/>
    <w:rsid w:val="002C3614"/>
    <w:rsid w:val="002D01B0"/>
    <w:rsid w:val="002D79A5"/>
    <w:rsid w:val="002E3127"/>
    <w:rsid w:val="002F030D"/>
    <w:rsid w:val="002F3D5B"/>
    <w:rsid w:val="002F54C9"/>
    <w:rsid w:val="00300C76"/>
    <w:rsid w:val="00300EA5"/>
    <w:rsid w:val="003135E1"/>
    <w:rsid w:val="003172C0"/>
    <w:rsid w:val="00341259"/>
    <w:rsid w:val="00342EAD"/>
    <w:rsid w:val="0034765A"/>
    <w:rsid w:val="00356D9B"/>
    <w:rsid w:val="003641C6"/>
    <w:rsid w:val="00364E09"/>
    <w:rsid w:val="00372E1B"/>
    <w:rsid w:val="0037627B"/>
    <w:rsid w:val="00381C63"/>
    <w:rsid w:val="00385BD7"/>
    <w:rsid w:val="0039328D"/>
    <w:rsid w:val="003938E5"/>
    <w:rsid w:val="003A5F05"/>
    <w:rsid w:val="003B2E5D"/>
    <w:rsid w:val="003B3CD0"/>
    <w:rsid w:val="003B4605"/>
    <w:rsid w:val="003B5E9D"/>
    <w:rsid w:val="003C4AFA"/>
    <w:rsid w:val="003D055E"/>
    <w:rsid w:val="003D3BED"/>
    <w:rsid w:val="003D7F88"/>
    <w:rsid w:val="003E34A2"/>
    <w:rsid w:val="003E6F81"/>
    <w:rsid w:val="003F1784"/>
    <w:rsid w:val="003F6A26"/>
    <w:rsid w:val="00406CD0"/>
    <w:rsid w:val="00410C2D"/>
    <w:rsid w:val="00411E49"/>
    <w:rsid w:val="00413595"/>
    <w:rsid w:val="004231D6"/>
    <w:rsid w:val="0042780B"/>
    <w:rsid w:val="00431B3C"/>
    <w:rsid w:val="00437E8E"/>
    <w:rsid w:val="00442415"/>
    <w:rsid w:val="00444554"/>
    <w:rsid w:val="004471D3"/>
    <w:rsid w:val="00450CF7"/>
    <w:rsid w:val="00450EDF"/>
    <w:rsid w:val="00452A82"/>
    <w:rsid w:val="004557E2"/>
    <w:rsid w:val="004638F7"/>
    <w:rsid w:val="0047163D"/>
    <w:rsid w:val="004862CF"/>
    <w:rsid w:val="00492356"/>
    <w:rsid w:val="004A5274"/>
    <w:rsid w:val="004B4B26"/>
    <w:rsid w:val="004C0AD2"/>
    <w:rsid w:val="004D48C1"/>
    <w:rsid w:val="004E183C"/>
    <w:rsid w:val="004E3864"/>
    <w:rsid w:val="004E5E9D"/>
    <w:rsid w:val="004F38DF"/>
    <w:rsid w:val="004F3B1A"/>
    <w:rsid w:val="00502FEB"/>
    <w:rsid w:val="0051763D"/>
    <w:rsid w:val="0052499B"/>
    <w:rsid w:val="00525567"/>
    <w:rsid w:val="005317CE"/>
    <w:rsid w:val="00532FDE"/>
    <w:rsid w:val="00533926"/>
    <w:rsid w:val="0054013C"/>
    <w:rsid w:val="00545104"/>
    <w:rsid w:val="005473CA"/>
    <w:rsid w:val="005541A4"/>
    <w:rsid w:val="00555B6E"/>
    <w:rsid w:val="00557B83"/>
    <w:rsid w:val="0056595C"/>
    <w:rsid w:val="00567B91"/>
    <w:rsid w:val="005707B6"/>
    <w:rsid w:val="0057266A"/>
    <w:rsid w:val="005770B6"/>
    <w:rsid w:val="005834D9"/>
    <w:rsid w:val="005901B5"/>
    <w:rsid w:val="005A2178"/>
    <w:rsid w:val="005A41EE"/>
    <w:rsid w:val="005A4764"/>
    <w:rsid w:val="005A7067"/>
    <w:rsid w:val="005B2CC6"/>
    <w:rsid w:val="005C11D9"/>
    <w:rsid w:val="005C1EA7"/>
    <w:rsid w:val="005C45BF"/>
    <w:rsid w:val="005C5DE6"/>
    <w:rsid w:val="005E6B3F"/>
    <w:rsid w:val="005F22E5"/>
    <w:rsid w:val="005F3D84"/>
    <w:rsid w:val="00607F4B"/>
    <w:rsid w:val="006119AD"/>
    <w:rsid w:val="00617B0D"/>
    <w:rsid w:val="006242FE"/>
    <w:rsid w:val="006317FE"/>
    <w:rsid w:val="00635CC4"/>
    <w:rsid w:val="0064307F"/>
    <w:rsid w:val="0066406B"/>
    <w:rsid w:val="00665426"/>
    <w:rsid w:val="00666C5D"/>
    <w:rsid w:val="00670A00"/>
    <w:rsid w:val="006873CD"/>
    <w:rsid w:val="006926F9"/>
    <w:rsid w:val="006947F5"/>
    <w:rsid w:val="006972C0"/>
    <w:rsid w:val="006A3B50"/>
    <w:rsid w:val="006A6174"/>
    <w:rsid w:val="006C0113"/>
    <w:rsid w:val="006C720A"/>
    <w:rsid w:val="006E1238"/>
    <w:rsid w:val="006E6367"/>
    <w:rsid w:val="006F5182"/>
    <w:rsid w:val="007137ED"/>
    <w:rsid w:val="00714546"/>
    <w:rsid w:val="0071514C"/>
    <w:rsid w:val="00716D37"/>
    <w:rsid w:val="00725768"/>
    <w:rsid w:val="00725AC1"/>
    <w:rsid w:val="00730A6F"/>
    <w:rsid w:val="00733C33"/>
    <w:rsid w:val="00733F67"/>
    <w:rsid w:val="007343AB"/>
    <w:rsid w:val="007345C2"/>
    <w:rsid w:val="0073591D"/>
    <w:rsid w:val="00741850"/>
    <w:rsid w:val="00741F32"/>
    <w:rsid w:val="0074388E"/>
    <w:rsid w:val="007444FA"/>
    <w:rsid w:val="007451BD"/>
    <w:rsid w:val="007511E5"/>
    <w:rsid w:val="0075291B"/>
    <w:rsid w:val="007619C1"/>
    <w:rsid w:val="007622F6"/>
    <w:rsid w:val="00763779"/>
    <w:rsid w:val="00781E65"/>
    <w:rsid w:val="007846BA"/>
    <w:rsid w:val="00784B7F"/>
    <w:rsid w:val="007854F2"/>
    <w:rsid w:val="00786639"/>
    <w:rsid w:val="007A4DD2"/>
    <w:rsid w:val="007B134D"/>
    <w:rsid w:val="007B46F1"/>
    <w:rsid w:val="007B5848"/>
    <w:rsid w:val="007B7058"/>
    <w:rsid w:val="007C3C60"/>
    <w:rsid w:val="007C64DF"/>
    <w:rsid w:val="007C6CF3"/>
    <w:rsid w:val="007D0AB7"/>
    <w:rsid w:val="007D1F0A"/>
    <w:rsid w:val="007D33F2"/>
    <w:rsid w:val="007D53FB"/>
    <w:rsid w:val="007D717C"/>
    <w:rsid w:val="007D7A8E"/>
    <w:rsid w:val="007D7DB9"/>
    <w:rsid w:val="007E23F7"/>
    <w:rsid w:val="007F04AE"/>
    <w:rsid w:val="007F771A"/>
    <w:rsid w:val="00800C54"/>
    <w:rsid w:val="00801B99"/>
    <w:rsid w:val="008049ED"/>
    <w:rsid w:val="00804FD2"/>
    <w:rsid w:val="0080744A"/>
    <w:rsid w:val="00810BC2"/>
    <w:rsid w:val="0081203E"/>
    <w:rsid w:val="00812814"/>
    <w:rsid w:val="008137CC"/>
    <w:rsid w:val="00814FAD"/>
    <w:rsid w:val="00820C28"/>
    <w:rsid w:val="008223FA"/>
    <w:rsid w:val="008347CB"/>
    <w:rsid w:val="008408E5"/>
    <w:rsid w:val="0084244B"/>
    <w:rsid w:val="00844008"/>
    <w:rsid w:val="00853055"/>
    <w:rsid w:val="0085433B"/>
    <w:rsid w:val="008554EF"/>
    <w:rsid w:val="00862EEF"/>
    <w:rsid w:val="008659F6"/>
    <w:rsid w:val="00865BE1"/>
    <w:rsid w:val="00865D69"/>
    <w:rsid w:val="00874FB5"/>
    <w:rsid w:val="00883970"/>
    <w:rsid w:val="0088676F"/>
    <w:rsid w:val="00895639"/>
    <w:rsid w:val="008A22DC"/>
    <w:rsid w:val="008A4BBF"/>
    <w:rsid w:val="008B6180"/>
    <w:rsid w:val="008C6DBD"/>
    <w:rsid w:val="008D1F26"/>
    <w:rsid w:val="008F2B62"/>
    <w:rsid w:val="008F7EB1"/>
    <w:rsid w:val="0090321F"/>
    <w:rsid w:val="00905ACB"/>
    <w:rsid w:val="00907F31"/>
    <w:rsid w:val="00912103"/>
    <w:rsid w:val="009167BC"/>
    <w:rsid w:val="0093704A"/>
    <w:rsid w:val="0094409F"/>
    <w:rsid w:val="00944155"/>
    <w:rsid w:val="0094481B"/>
    <w:rsid w:val="009566D2"/>
    <w:rsid w:val="00956E91"/>
    <w:rsid w:val="0095750A"/>
    <w:rsid w:val="00962564"/>
    <w:rsid w:val="00962EF6"/>
    <w:rsid w:val="00965BF3"/>
    <w:rsid w:val="009709EA"/>
    <w:rsid w:val="009725DC"/>
    <w:rsid w:val="00972AB3"/>
    <w:rsid w:val="00972DD9"/>
    <w:rsid w:val="00990851"/>
    <w:rsid w:val="00993035"/>
    <w:rsid w:val="00995B7E"/>
    <w:rsid w:val="009B2C6C"/>
    <w:rsid w:val="009B4C62"/>
    <w:rsid w:val="009B62A1"/>
    <w:rsid w:val="009C03FA"/>
    <w:rsid w:val="009C0E05"/>
    <w:rsid w:val="009C194A"/>
    <w:rsid w:val="009C3655"/>
    <w:rsid w:val="009D2DF3"/>
    <w:rsid w:val="009E2DCE"/>
    <w:rsid w:val="009E6573"/>
    <w:rsid w:val="009E7FFB"/>
    <w:rsid w:val="00A03435"/>
    <w:rsid w:val="00A131F9"/>
    <w:rsid w:val="00A14A94"/>
    <w:rsid w:val="00A17ED1"/>
    <w:rsid w:val="00A236AF"/>
    <w:rsid w:val="00A255A7"/>
    <w:rsid w:val="00A3680E"/>
    <w:rsid w:val="00A4144F"/>
    <w:rsid w:val="00A43FD4"/>
    <w:rsid w:val="00A53C50"/>
    <w:rsid w:val="00A5511D"/>
    <w:rsid w:val="00A65E9B"/>
    <w:rsid w:val="00A676C5"/>
    <w:rsid w:val="00A678BC"/>
    <w:rsid w:val="00A7394F"/>
    <w:rsid w:val="00A805F6"/>
    <w:rsid w:val="00A82051"/>
    <w:rsid w:val="00A8328B"/>
    <w:rsid w:val="00AA3C7C"/>
    <w:rsid w:val="00AB4E30"/>
    <w:rsid w:val="00AB7582"/>
    <w:rsid w:val="00AB7ACB"/>
    <w:rsid w:val="00AC6455"/>
    <w:rsid w:val="00AC6CCA"/>
    <w:rsid w:val="00AD06B3"/>
    <w:rsid w:val="00AD5400"/>
    <w:rsid w:val="00AE09B9"/>
    <w:rsid w:val="00AE10E0"/>
    <w:rsid w:val="00AE22AE"/>
    <w:rsid w:val="00AE3721"/>
    <w:rsid w:val="00AF08D7"/>
    <w:rsid w:val="00B0287F"/>
    <w:rsid w:val="00B14400"/>
    <w:rsid w:val="00B144D3"/>
    <w:rsid w:val="00B175E4"/>
    <w:rsid w:val="00B27304"/>
    <w:rsid w:val="00B31D60"/>
    <w:rsid w:val="00B36004"/>
    <w:rsid w:val="00B363E9"/>
    <w:rsid w:val="00B44E1A"/>
    <w:rsid w:val="00B4686E"/>
    <w:rsid w:val="00B546C3"/>
    <w:rsid w:val="00B579C9"/>
    <w:rsid w:val="00B57F15"/>
    <w:rsid w:val="00B630C0"/>
    <w:rsid w:val="00B669C4"/>
    <w:rsid w:val="00B71FF5"/>
    <w:rsid w:val="00B736C1"/>
    <w:rsid w:val="00B81D6B"/>
    <w:rsid w:val="00B8672E"/>
    <w:rsid w:val="00B90964"/>
    <w:rsid w:val="00B90BDC"/>
    <w:rsid w:val="00B91A3B"/>
    <w:rsid w:val="00BA1C7A"/>
    <w:rsid w:val="00BA3D6C"/>
    <w:rsid w:val="00BA6BD6"/>
    <w:rsid w:val="00BC2217"/>
    <w:rsid w:val="00BC3885"/>
    <w:rsid w:val="00BC56D3"/>
    <w:rsid w:val="00BD223B"/>
    <w:rsid w:val="00BD296F"/>
    <w:rsid w:val="00BD7435"/>
    <w:rsid w:val="00BD7EAE"/>
    <w:rsid w:val="00BE373C"/>
    <w:rsid w:val="00BE42D2"/>
    <w:rsid w:val="00BE7572"/>
    <w:rsid w:val="00BF52E0"/>
    <w:rsid w:val="00C0385D"/>
    <w:rsid w:val="00C07705"/>
    <w:rsid w:val="00C07CC6"/>
    <w:rsid w:val="00C10ED9"/>
    <w:rsid w:val="00C154B6"/>
    <w:rsid w:val="00C26089"/>
    <w:rsid w:val="00C309A4"/>
    <w:rsid w:val="00C3661D"/>
    <w:rsid w:val="00C401C7"/>
    <w:rsid w:val="00C436B8"/>
    <w:rsid w:val="00C51813"/>
    <w:rsid w:val="00C522DC"/>
    <w:rsid w:val="00C5625E"/>
    <w:rsid w:val="00C565DC"/>
    <w:rsid w:val="00C569E5"/>
    <w:rsid w:val="00C579A6"/>
    <w:rsid w:val="00C61EA5"/>
    <w:rsid w:val="00C71FD6"/>
    <w:rsid w:val="00C90BBF"/>
    <w:rsid w:val="00C948CA"/>
    <w:rsid w:val="00CA4A62"/>
    <w:rsid w:val="00CA6350"/>
    <w:rsid w:val="00CA76AF"/>
    <w:rsid w:val="00CB010F"/>
    <w:rsid w:val="00CB5D5A"/>
    <w:rsid w:val="00CC10A3"/>
    <w:rsid w:val="00CC5D73"/>
    <w:rsid w:val="00CE23CB"/>
    <w:rsid w:val="00CE58F9"/>
    <w:rsid w:val="00CF3CF5"/>
    <w:rsid w:val="00CF4496"/>
    <w:rsid w:val="00CF72CD"/>
    <w:rsid w:val="00CF789E"/>
    <w:rsid w:val="00D0115B"/>
    <w:rsid w:val="00D020F7"/>
    <w:rsid w:val="00D0722A"/>
    <w:rsid w:val="00D07F59"/>
    <w:rsid w:val="00D134A0"/>
    <w:rsid w:val="00D14E72"/>
    <w:rsid w:val="00D1690F"/>
    <w:rsid w:val="00D171B4"/>
    <w:rsid w:val="00D213E2"/>
    <w:rsid w:val="00D21539"/>
    <w:rsid w:val="00D363BB"/>
    <w:rsid w:val="00D42DF9"/>
    <w:rsid w:val="00D43F22"/>
    <w:rsid w:val="00D46302"/>
    <w:rsid w:val="00D46C18"/>
    <w:rsid w:val="00D55564"/>
    <w:rsid w:val="00D61E6C"/>
    <w:rsid w:val="00D62C48"/>
    <w:rsid w:val="00D833A9"/>
    <w:rsid w:val="00D841B1"/>
    <w:rsid w:val="00D85C11"/>
    <w:rsid w:val="00D87466"/>
    <w:rsid w:val="00D94832"/>
    <w:rsid w:val="00DA1D22"/>
    <w:rsid w:val="00DA5262"/>
    <w:rsid w:val="00DB2635"/>
    <w:rsid w:val="00DB2870"/>
    <w:rsid w:val="00DB3DC6"/>
    <w:rsid w:val="00DC1F6F"/>
    <w:rsid w:val="00DC7B3A"/>
    <w:rsid w:val="00DD2824"/>
    <w:rsid w:val="00DD6AE0"/>
    <w:rsid w:val="00DE576F"/>
    <w:rsid w:val="00DE7F2B"/>
    <w:rsid w:val="00DF1A44"/>
    <w:rsid w:val="00DF2FDE"/>
    <w:rsid w:val="00E10482"/>
    <w:rsid w:val="00E130B9"/>
    <w:rsid w:val="00E209BE"/>
    <w:rsid w:val="00E264F5"/>
    <w:rsid w:val="00E320F6"/>
    <w:rsid w:val="00E32193"/>
    <w:rsid w:val="00E3360B"/>
    <w:rsid w:val="00E34B0F"/>
    <w:rsid w:val="00E360C5"/>
    <w:rsid w:val="00E37C95"/>
    <w:rsid w:val="00E440F3"/>
    <w:rsid w:val="00E50A93"/>
    <w:rsid w:val="00E630CB"/>
    <w:rsid w:val="00E63BEF"/>
    <w:rsid w:val="00E64616"/>
    <w:rsid w:val="00E70D9F"/>
    <w:rsid w:val="00E7392B"/>
    <w:rsid w:val="00E74409"/>
    <w:rsid w:val="00E757C6"/>
    <w:rsid w:val="00E75CFB"/>
    <w:rsid w:val="00E7647B"/>
    <w:rsid w:val="00E82DCD"/>
    <w:rsid w:val="00E861DD"/>
    <w:rsid w:val="00E87CC6"/>
    <w:rsid w:val="00E93852"/>
    <w:rsid w:val="00E93A20"/>
    <w:rsid w:val="00E96485"/>
    <w:rsid w:val="00EA38B0"/>
    <w:rsid w:val="00EA5263"/>
    <w:rsid w:val="00EB3020"/>
    <w:rsid w:val="00EB74E2"/>
    <w:rsid w:val="00EB7B61"/>
    <w:rsid w:val="00EC4CA0"/>
    <w:rsid w:val="00EC5CE7"/>
    <w:rsid w:val="00ED2367"/>
    <w:rsid w:val="00ED39EE"/>
    <w:rsid w:val="00ED46A8"/>
    <w:rsid w:val="00ED594D"/>
    <w:rsid w:val="00EE2497"/>
    <w:rsid w:val="00EE44AD"/>
    <w:rsid w:val="00EE53D6"/>
    <w:rsid w:val="00EE634C"/>
    <w:rsid w:val="00EF2029"/>
    <w:rsid w:val="00EF28F9"/>
    <w:rsid w:val="00EF445A"/>
    <w:rsid w:val="00EF6F0C"/>
    <w:rsid w:val="00F02505"/>
    <w:rsid w:val="00F064AF"/>
    <w:rsid w:val="00F07545"/>
    <w:rsid w:val="00F117A3"/>
    <w:rsid w:val="00F16673"/>
    <w:rsid w:val="00F207D8"/>
    <w:rsid w:val="00F22F4A"/>
    <w:rsid w:val="00F25194"/>
    <w:rsid w:val="00F341F4"/>
    <w:rsid w:val="00F35C4D"/>
    <w:rsid w:val="00F431AE"/>
    <w:rsid w:val="00F4497E"/>
    <w:rsid w:val="00F456A9"/>
    <w:rsid w:val="00F5179F"/>
    <w:rsid w:val="00F60A8D"/>
    <w:rsid w:val="00F8416A"/>
    <w:rsid w:val="00F85580"/>
    <w:rsid w:val="00F87D74"/>
    <w:rsid w:val="00F92F04"/>
    <w:rsid w:val="00FA0C1E"/>
    <w:rsid w:val="00FA1416"/>
    <w:rsid w:val="00FA16B4"/>
    <w:rsid w:val="00FA28A6"/>
    <w:rsid w:val="00FB00B8"/>
    <w:rsid w:val="00FC02B5"/>
    <w:rsid w:val="00FC49D6"/>
    <w:rsid w:val="00FE0D30"/>
    <w:rsid w:val="00FE3798"/>
    <w:rsid w:val="00FE4C01"/>
    <w:rsid w:val="00FF08BA"/>
    <w:rsid w:val="00FF0D0A"/>
    <w:rsid w:val="00FF1018"/>
    <w:rsid w:val="00FF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16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  <w:style w:type="table" w:styleId="TableGrid">
    <w:name w:val="Table Grid"/>
    <w:basedOn w:val="TableNormal"/>
    <w:uiPriority w:val="59"/>
    <w:rsid w:val="005F2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lestinian.ministry.of.health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iwan@pcbs.gov.p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B4360-7DD7-4366-95A1-0684F7D0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amneh</cp:lastModifiedBy>
  <cp:revision>16</cp:revision>
  <cp:lastPrinted>2018-02-04T08:58:00Z</cp:lastPrinted>
  <dcterms:created xsi:type="dcterms:W3CDTF">2017-02-14T12:23:00Z</dcterms:created>
  <dcterms:modified xsi:type="dcterms:W3CDTF">2018-02-04T08:59:00Z</dcterms:modified>
</cp:coreProperties>
</file>